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FEA" w:rsidRDefault="00FD7FEA" w:rsidP="00FD7FEA">
      <w:pPr>
        <w:tabs>
          <w:tab w:val="left" w:pos="0"/>
        </w:tabs>
        <w:spacing w:after="0" w:line="240" w:lineRule="auto"/>
        <w:ind w:firstLine="720"/>
        <w:jc w:val="center"/>
        <w:rPr>
          <w:rFonts w:ascii="PT Astra Serif" w:eastAsia="Times New Roman" w:hAnsi="PT Astra Serif" w:cs="Times New Roman"/>
          <w:b/>
          <w:i/>
          <w:sz w:val="26"/>
          <w:szCs w:val="26"/>
          <w:lang w:eastAsia="ru-RU"/>
        </w:rPr>
      </w:pPr>
      <w:bookmarkStart w:id="0" w:name="_GoBack"/>
      <w:bookmarkEnd w:id="0"/>
      <w:r w:rsidRPr="00FF14E5">
        <w:rPr>
          <w:rFonts w:ascii="PT Astra Serif" w:hAnsi="PT Astra Serif"/>
          <w:b/>
          <w:sz w:val="26"/>
          <w:szCs w:val="26"/>
        </w:rPr>
        <w:t>ГП «</w:t>
      </w:r>
      <w:r w:rsidRPr="00FF14E5">
        <w:rPr>
          <w:rFonts w:ascii="PT Astra Serif" w:hAnsi="PT Astra Serif" w:cs="PT Astra Serif"/>
          <w:b/>
          <w:sz w:val="26"/>
          <w:szCs w:val="26"/>
        </w:rPr>
        <w:t>Развитие предпринимательства и повышение эффективности государственного управления социально-экономическим развитием Томской области</w:t>
      </w:r>
      <w:r w:rsidRPr="00FF14E5">
        <w:rPr>
          <w:rFonts w:ascii="PT Astra Serif" w:hAnsi="PT Astra Serif"/>
          <w:b/>
          <w:sz w:val="26"/>
          <w:szCs w:val="26"/>
        </w:rPr>
        <w:t>»</w:t>
      </w:r>
    </w:p>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p>
    <w:p w:rsidR="00FD7FEA" w:rsidRDefault="00FD7FEA" w:rsidP="00FD7FEA">
      <w:pPr>
        <w:tabs>
          <w:tab w:val="left" w:pos="0"/>
        </w:tabs>
        <w:autoSpaceDE w:val="0"/>
        <w:autoSpaceDN w:val="0"/>
        <w:adjustRightInd w:val="0"/>
        <w:spacing w:after="0" w:line="240" w:lineRule="auto"/>
        <w:jc w:val="center"/>
        <w:rPr>
          <w:rFonts w:ascii="PT Astra Serif" w:hAnsi="PT Astra Serif" w:cs="PT Astra Serif"/>
          <w:bCs/>
          <w:sz w:val="26"/>
          <w:szCs w:val="26"/>
        </w:rPr>
      </w:pPr>
      <w:r>
        <w:rPr>
          <w:rFonts w:ascii="PT Astra Serif" w:hAnsi="PT Astra Serif" w:cs="Times New Roman"/>
          <w:b/>
          <w:bCs/>
          <w:sz w:val="26"/>
          <w:szCs w:val="26"/>
        </w:rPr>
        <w:t>Цель ГП </w:t>
      </w:r>
      <w:r>
        <w:rPr>
          <w:rFonts w:ascii="PT Astra Serif" w:hAnsi="PT Astra Serif" w:cs="Times New Roman"/>
          <w:b/>
          <w:bCs/>
          <w:sz w:val="26"/>
          <w:szCs w:val="26"/>
        </w:rPr>
        <w:noBreakHyphen/>
        <w:t> </w:t>
      </w:r>
      <w:r>
        <w:rPr>
          <w:rFonts w:ascii="PT Astra Serif" w:hAnsi="PT Astra Serif" w:cs="Times New Roman"/>
          <w:bCs/>
          <w:sz w:val="26"/>
          <w:szCs w:val="26"/>
        </w:rPr>
        <w:t>р</w:t>
      </w:r>
      <w:r>
        <w:rPr>
          <w:rFonts w:ascii="PT Astra Serif" w:hAnsi="PT Astra Serif" w:cs="PT Astra Serif"/>
          <w:bCs/>
          <w:sz w:val="26"/>
          <w:szCs w:val="26"/>
        </w:rPr>
        <w:t>азвитие предпринимательства и повышение эффективности государственного управления социально-экономическим развитием Томской области</w:t>
      </w:r>
    </w:p>
    <w:p w:rsidR="00FD7FEA" w:rsidRDefault="00FD7FEA" w:rsidP="00FD7FEA">
      <w:pPr>
        <w:tabs>
          <w:tab w:val="left" w:pos="0"/>
        </w:tabs>
        <w:autoSpaceDE w:val="0"/>
        <w:autoSpaceDN w:val="0"/>
        <w:adjustRightInd w:val="0"/>
        <w:spacing w:after="0" w:line="240" w:lineRule="auto"/>
        <w:jc w:val="center"/>
        <w:rPr>
          <w:rFonts w:ascii="PT Astra Serif" w:hAnsi="PT Astra Serif" w:cs="PT Astra Serif"/>
          <w:b/>
          <w:bCs/>
          <w:sz w:val="26"/>
          <w:szCs w:val="26"/>
        </w:rPr>
      </w:pPr>
    </w:p>
    <w:p w:rsidR="00FD7FEA" w:rsidRDefault="00FD7FEA" w:rsidP="00FD7FEA">
      <w:pPr>
        <w:tabs>
          <w:tab w:val="left" w:pos="0"/>
        </w:tabs>
        <w:spacing w:after="0" w:line="240" w:lineRule="auto"/>
        <w:jc w:val="center"/>
        <w:rPr>
          <w:rFonts w:ascii="PT Astra Serif" w:eastAsia="Times New Roman" w:hAnsi="PT Astra Serif" w:cs="Times New Roman"/>
          <w:b/>
          <w:bCs/>
          <w:sz w:val="26"/>
          <w:szCs w:val="26"/>
        </w:rPr>
      </w:pPr>
      <w:r>
        <w:rPr>
          <w:rFonts w:ascii="PT Astra Serif" w:eastAsia="Times New Roman" w:hAnsi="PT Astra Serif" w:cs="Times New Roman"/>
          <w:b/>
          <w:bCs/>
          <w:sz w:val="26"/>
          <w:szCs w:val="26"/>
        </w:rPr>
        <w:t>3.1. Расходы на реализацию государственной программы</w:t>
      </w:r>
    </w:p>
    <w:p w:rsidR="00FD7FEA" w:rsidRPr="00565D43" w:rsidRDefault="00FD7FEA" w:rsidP="00FD7FEA">
      <w:pPr>
        <w:tabs>
          <w:tab w:val="left" w:pos="0"/>
        </w:tabs>
        <w:spacing w:after="0" w:line="240" w:lineRule="auto"/>
        <w:jc w:val="center"/>
        <w:rPr>
          <w:rFonts w:ascii="PT Astra Serif" w:eastAsia="Times New Roman" w:hAnsi="PT Astra Serif" w:cs="Times New Roman"/>
          <w:b/>
          <w:bCs/>
          <w:sz w:val="20"/>
          <w:szCs w:val="20"/>
        </w:rPr>
      </w:pPr>
    </w:p>
    <w:p w:rsidR="00FD7FEA" w:rsidRDefault="00FD7FEA" w:rsidP="00FD7FEA">
      <w:pPr>
        <w:tabs>
          <w:tab w:val="left" w:pos="0"/>
        </w:tabs>
        <w:spacing w:after="0" w:line="240" w:lineRule="auto"/>
        <w:jc w:val="center"/>
        <w:rPr>
          <w:rFonts w:ascii="PT Astra Serif" w:eastAsia="Times New Roman" w:hAnsi="PT Astra Serif"/>
          <w:b/>
          <w:bCs/>
          <w:sz w:val="26"/>
          <w:szCs w:val="26"/>
        </w:rPr>
      </w:pPr>
      <w:r>
        <w:rPr>
          <w:rFonts w:ascii="PT Astra Serif" w:hAnsi="PT Astra Serif"/>
          <w:b/>
          <w:sz w:val="26"/>
          <w:szCs w:val="26"/>
        </w:rPr>
        <w:t xml:space="preserve">Информация о плановых ассигнованиях и кассовых расходах, направленных на реализацию </w:t>
      </w:r>
      <w:r>
        <w:rPr>
          <w:rFonts w:ascii="PT Astra Serif" w:eastAsia="Times New Roman" w:hAnsi="PT Astra Serif"/>
          <w:b/>
          <w:sz w:val="26"/>
          <w:szCs w:val="26"/>
        </w:rPr>
        <w:t>государственной программы</w:t>
      </w:r>
    </w:p>
    <w:p w:rsidR="00FD7FEA" w:rsidRDefault="00FD7FEA" w:rsidP="00FD7FEA">
      <w:pPr>
        <w:tabs>
          <w:tab w:val="left" w:pos="0"/>
          <w:tab w:val="left" w:pos="9923"/>
        </w:tabs>
        <w:spacing w:after="0" w:line="240" w:lineRule="auto"/>
        <w:ind w:right="-2"/>
        <w:jc w:val="right"/>
        <w:rPr>
          <w:rFonts w:ascii="PT Astra Serif" w:eastAsia="Times New Roman" w:hAnsi="PT Astra Serif" w:cs="Times New Roman"/>
          <w:bCs/>
          <w:sz w:val="26"/>
          <w:szCs w:val="26"/>
        </w:rPr>
      </w:pPr>
      <w:r>
        <w:rPr>
          <w:rFonts w:ascii="PT Astra Serif" w:eastAsia="Times New Roman" w:hAnsi="PT Astra Serif" w:cs="Times New Roman"/>
          <w:bCs/>
          <w:sz w:val="26"/>
          <w:szCs w:val="26"/>
        </w:rPr>
        <w:t>Таблица 1</w:t>
      </w:r>
    </w:p>
    <w:tbl>
      <w:tblPr>
        <w:tblW w:w="9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3"/>
        <w:gridCol w:w="3585"/>
        <w:gridCol w:w="1547"/>
        <w:gridCol w:w="1560"/>
        <w:gridCol w:w="1417"/>
        <w:gridCol w:w="676"/>
      </w:tblGrid>
      <w:tr w:rsidR="00FD7FEA" w:rsidTr="00C1716C">
        <w:trPr>
          <w:trHeight w:val="334"/>
          <w:tblHeader/>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 п/п</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Источники финансирования</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vertAlign w:val="superscript"/>
                <w:lang w:eastAsia="ko-KR"/>
              </w:rPr>
            </w:pPr>
            <w:r>
              <w:rPr>
                <w:rFonts w:ascii="PT Astra Serif" w:eastAsia="Batang" w:hAnsi="PT Astra Serif" w:cs="Times New Roman"/>
                <w:lang w:eastAsia="ko-KR"/>
              </w:rPr>
              <w:t>План на 2023 год</w:t>
            </w:r>
          </w:p>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(тыс. рублей)</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Профинансировано</w:t>
            </w:r>
          </w:p>
          <w:p w:rsidR="00FD7FEA" w:rsidRDefault="00FD7FEA" w:rsidP="00C1716C">
            <w:pPr>
              <w:tabs>
                <w:tab w:val="left" w:pos="0"/>
              </w:tabs>
              <w:spacing w:after="0" w:line="240" w:lineRule="auto"/>
              <w:jc w:val="center"/>
              <w:rPr>
                <w:rFonts w:ascii="PT Astra Serif" w:eastAsia="Batang" w:hAnsi="PT Astra Serif" w:cs="Times New Roman"/>
                <w:vertAlign w:val="superscript"/>
                <w:lang w:eastAsia="ko-KR"/>
              </w:rPr>
            </w:pPr>
            <w:r>
              <w:rPr>
                <w:rFonts w:ascii="PT Astra Serif" w:eastAsia="Batang" w:hAnsi="PT Astra Serif" w:cs="Times New Roman"/>
                <w:lang w:eastAsia="ko-KR"/>
              </w:rPr>
              <w:t>по состоянию на 31.12.2023</w:t>
            </w:r>
          </w:p>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(тыс. рублей)</w:t>
            </w:r>
          </w:p>
        </w:tc>
        <w:tc>
          <w:tcPr>
            <w:tcW w:w="1417" w:type="dxa"/>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 xml:space="preserve">Отклонение финансирования </w:t>
            </w:r>
            <w:r>
              <w:rPr>
                <w:rFonts w:ascii="PT Astra Serif" w:eastAsia="Batang" w:hAnsi="PT Astra Serif" w:cs="Times New Roman"/>
                <w:lang w:eastAsia="ko-KR"/>
              </w:rPr>
              <w:br/>
              <w:t>(тыс. рублей)</w:t>
            </w:r>
          </w:p>
        </w:tc>
        <w:tc>
          <w:tcPr>
            <w:tcW w:w="676" w:type="dxa"/>
            <w:tcMar>
              <w:left w:w="28" w:type="dxa"/>
              <w:right w:w="28" w:type="dxa"/>
            </w:tcMar>
            <w:vAlign w:val="center"/>
          </w:tcPr>
          <w:p w:rsidR="00FD7FEA" w:rsidRDefault="00FD7FEA" w:rsidP="00C1716C">
            <w:pPr>
              <w:tabs>
                <w:tab w:val="left" w:pos="-125"/>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Процент исполнения</w:t>
            </w:r>
          </w:p>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(в %)</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1</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2</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3</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4</w:t>
            </w:r>
          </w:p>
        </w:tc>
        <w:tc>
          <w:tcPr>
            <w:tcW w:w="1417" w:type="dxa"/>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5</w:t>
            </w:r>
          </w:p>
        </w:tc>
        <w:tc>
          <w:tcPr>
            <w:tcW w:w="676"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6</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b/>
                <w:lang w:eastAsia="ko-KR"/>
              </w:rPr>
            </w:pPr>
            <w:r>
              <w:rPr>
                <w:rFonts w:ascii="PT Astra Serif" w:eastAsia="Batang" w:hAnsi="PT Astra Serif" w:cs="Times New Roman"/>
                <w:b/>
                <w:lang w:eastAsia="ko-KR"/>
              </w:rPr>
              <w:t>Объем ассигнований - всего</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hAnsi="PT Astra Serif" w:cs="Calibri"/>
                <w:b/>
                <w:bCs/>
              </w:rPr>
            </w:pPr>
            <w:r>
              <w:rPr>
                <w:rFonts w:ascii="PT Astra Serif" w:hAnsi="PT Astra Serif" w:cs="Calibri"/>
                <w:b/>
                <w:bCs/>
              </w:rPr>
              <w:t>806 290,0</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b/>
                <w:lang w:eastAsia="ko-KR"/>
              </w:rPr>
            </w:pPr>
            <w:r>
              <w:rPr>
                <w:rFonts w:ascii="PT Astra Serif" w:eastAsia="Batang" w:hAnsi="PT Astra Serif" w:cs="Times New Roman"/>
                <w:b/>
                <w:lang w:eastAsia="ko-KR"/>
              </w:rPr>
              <w:t>796 764,0</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b/>
                <w:lang w:eastAsia="ko-KR"/>
              </w:rPr>
            </w:pPr>
            <w:r>
              <w:rPr>
                <w:rFonts w:ascii="PT Astra Serif" w:eastAsia="Batang" w:hAnsi="PT Astra Serif" w:cs="Times New Roman"/>
                <w:b/>
                <w:lang w:eastAsia="ko-KR"/>
              </w:rPr>
              <w:t>- 9526,0</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b/>
                <w:lang w:eastAsia="ko-KR"/>
              </w:rPr>
            </w:pPr>
            <w:r>
              <w:rPr>
                <w:rFonts w:ascii="PT Astra Serif" w:eastAsia="Batang" w:hAnsi="PT Astra Serif" w:cs="Times New Roman"/>
                <w:b/>
                <w:lang w:eastAsia="ko-KR"/>
              </w:rPr>
              <w:t>98,8</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1</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Областной бюджет, всего</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644 021,5</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630 438,5</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-13 583,0</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97,9</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1.1</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В том числе за счет собственных доходов областного бюджета</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277 331,3</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263 818,1</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-13 513,2</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95,1</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1.2</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за счет целевых средств федерального бюджета</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366 690,2</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366 620,4</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-69,8</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100</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2</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Федеральный бюджет (средства, поступающие напрямую получателям на счета, открытые в кредитных организациях или в Федеральном казначействе РФ)</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24 000,0</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24 000,0</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0,0</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100</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3</w:t>
            </w:r>
          </w:p>
        </w:tc>
        <w:tc>
          <w:tcPr>
            <w:tcW w:w="3585" w:type="dxa"/>
            <w:shd w:val="clear" w:color="auto" w:fill="auto"/>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Местные бюджеты</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5 268,5</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9 325,5</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4 057,0</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177,0</w:t>
            </w:r>
          </w:p>
        </w:tc>
      </w:tr>
      <w:tr w:rsidR="00FD7FEA" w:rsidTr="00C1716C">
        <w:trPr>
          <w:trHeight w:val="300"/>
          <w:jc w:val="center"/>
        </w:trPr>
        <w:tc>
          <w:tcPr>
            <w:tcW w:w="643" w:type="dxa"/>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4</w:t>
            </w:r>
          </w:p>
        </w:tc>
        <w:tc>
          <w:tcPr>
            <w:tcW w:w="3585" w:type="dxa"/>
            <w:shd w:val="clear" w:color="auto" w:fill="auto"/>
            <w:noWrap/>
            <w:tcMar>
              <w:left w:w="28" w:type="dxa"/>
              <w:right w:w="28" w:type="dxa"/>
            </w:tcMar>
            <w:vAlign w:val="center"/>
          </w:tcPr>
          <w:p w:rsidR="00FD7FEA" w:rsidRDefault="00FD7FEA" w:rsidP="00C1716C">
            <w:pPr>
              <w:tabs>
                <w:tab w:val="left" w:pos="0"/>
              </w:tabs>
              <w:spacing w:after="0" w:line="240" w:lineRule="auto"/>
              <w:jc w:val="center"/>
              <w:rPr>
                <w:rFonts w:ascii="PT Astra Serif" w:eastAsia="Batang" w:hAnsi="PT Astra Serif" w:cs="Times New Roman"/>
                <w:lang w:eastAsia="ko-KR"/>
              </w:rPr>
            </w:pPr>
            <w:r>
              <w:rPr>
                <w:rFonts w:ascii="PT Astra Serif" w:eastAsia="Batang" w:hAnsi="PT Astra Serif" w:cs="Times New Roman"/>
                <w:lang w:eastAsia="ko-KR"/>
              </w:rPr>
              <w:t>Внебюджетные источники</w:t>
            </w:r>
          </w:p>
        </w:tc>
        <w:tc>
          <w:tcPr>
            <w:tcW w:w="1547"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133 000,0</w:t>
            </w:r>
          </w:p>
        </w:tc>
        <w:tc>
          <w:tcPr>
            <w:tcW w:w="1560" w:type="dxa"/>
            <w:shd w:val="clear" w:color="auto" w:fill="auto"/>
            <w:noWrap/>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133 000,0</w:t>
            </w:r>
          </w:p>
        </w:tc>
        <w:tc>
          <w:tcPr>
            <w:tcW w:w="1417" w:type="dxa"/>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0,0</w:t>
            </w:r>
          </w:p>
        </w:tc>
        <w:tc>
          <w:tcPr>
            <w:tcW w:w="676" w:type="dxa"/>
            <w:tcMar>
              <w:left w:w="28" w:type="dxa"/>
              <w:right w:w="28" w:type="dxa"/>
            </w:tcMar>
            <w:vAlign w:val="center"/>
          </w:tcPr>
          <w:p w:rsidR="00FD7FEA" w:rsidRDefault="00FD7FEA" w:rsidP="00C1716C">
            <w:pPr>
              <w:tabs>
                <w:tab w:val="left" w:pos="0"/>
              </w:tabs>
              <w:spacing w:after="0" w:line="240" w:lineRule="auto"/>
              <w:contextualSpacing/>
              <w:jc w:val="center"/>
              <w:rPr>
                <w:rFonts w:ascii="PT Astra Serif" w:eastAsia="Batang" w:hAnsi="PT Astra Serif" w:cs="Times New Roman"/>
                <w:lang w:eastAsia="ko-KR"/>
              </w:rPr>
            </w:pPr>
            <w:r>
              <w:rPr>
                <w:rFonts w:ascii="PT Astra Serif" w:eastAsia="Batang" w:hAnsi="PT Astra Serif" w:cs="Times New Roman"/>
                <w:lang w:eastAsia="ko-KR"/>
              </w:rPr>
              <w:t>100</w:t>
            </w:r>
          </w:p>
        </w:tc>
      </w:tr>
    </w:tbl>
    <w:p w:rsidR="00FD7FEA" w:rsidRDefault="00FD7FEA" w:rsidP="00FD7FEA">
      <w:pPr>
        <w:tabs>
          <w:tab w:val="left" w:pos="0"/>
        </w:tabs>
        <w:spacing w:after="0" w:line="240" w:lineRule="auto"/>
        <w:jc w:val="center"/>
        <w:rPr>
          <w:rFonts w:ascii="PT Astra Serif" w:eastAsia="Times New Roman" w:hAnsi="PT Astra Serif" w:cs="Times New Roman"/>
          <w:b/>
        </w:rPr>
      </w:pPr>
    </w:p>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p>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p>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p>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r>
        <w:rPr>
          <w:rFonts w:ascii="PT Astra Serif" w:eastAsia="Times New Roman" w:hAnsi="PT Astra Serif" w:cs="Times New Roman"/>
          <w:b/>
          <w:sz w:val="26"/>
          <w:szCs w:val="26"/>
        </w:rPr>
        <w:t>3.2. Показатели цели ГП за 2023 год</w:t>
      </w:r>
    </w:p>
    <w:p w:rsidR="00FD7FEA" w:rsidRDefault="00FD7FEA" w:rsidP="00FD7FEA">
      <w:pPr>
        <w:tabs>
          <w:tab w:val="left" w:pos="0"/>
        </w:tabs>
        <w:spacing w:after="0" w:line="240" w:lineRule="auto"/>
        <w:jc w:val="right"/>
        <w:rPr>
          <w:rFonts w:ascii="PT Astra Serif" w:eastAsia="Times New Roman" w:hAnsi="PT Astra Serif" w:cs="Times New Roman"/>
          <w:b/>
          <w:sz w:val="26"/>
          <w:szCs w:val="26"/>
        </w:rPr>
      </w:pPr>
      <w:r>
        <w:rPr>
          <w:rFonts w:ascii="PT Astra Serif" w:eastAsia="Times New Roman" w:hAnsi="PT Astra Serif" w:cs="Times New Roman"/>
          <w:bCs/>
          <w:sz w:val="26"/>
          <w:szCs w:val="26"/>
        </w:rPr>
        <w:t>Таблица 2</w:t>
      </w:r>
    </w:p>
    <w:tbl>
      <w:tblPr>
        <w:tblW w:w="9401" w:type="dxa"/>
        <w:jc w:val="center"/>
        <w:tblLayout w:type="fixed"/>
        <w:tblLook w:val="04A0" w:firstRow="1" w:lastRow="0" w:firstColumn="1" w:lastColumn="0" w:noHBand="0" w:noVBand="1"/>
      </w:tblPr>
      <w:tblGrid>
        <w:gridCol w:w="449"/>
        <w:gridCol w:w="1695"/>
        <w:gridCol w:w="1873"/>
        <w:gridCol w:w="1276"/>
        <w:gridCol w:w="850"/>
        <w:gridCol w:w="856"/>
        <w:gridCol w:w="1412"/>
        <w:gridCol w:w="990"/>
      </w:tblGrid>
      <w:tr w:rsidR="00FD7FEA" w:rsidTr="00C1716C">
        <w:trPr>
          <w:trHeight w:val="1200"/>
          <w:tblHeader/>
          <w:jc w:val="center"/>
        </w:trPr>
        <w:tc>
          <w:tcPr>
            <w:tcW w:w="4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ind w:right="-127"/>
              <w:jc w:val="center"/>
              <w:rPr>
                <w:rFonts w:ascii="PT Astra Serif" w:eastAsia="Times New Roman" w:hAnsi="PT Astra Serif" w:cs="Times New Roman"/>
                <w:lang w:eastAsia="ru-RU"/>
              </w:rPr>
            </w:pPr>
            <w:r>
              <w:rPr>
                <w:rFonts w:ascii="PT Astra Serif" w:eastAsia="Times New Roman" w:hAnsi="PT Astra Serif" w:cs="Times New Roman"/>
                <w:lang w:eastAsia="ru-RU"/>
              </w:rPr>
              <w:t>№ п/п</w:t>
            </w:r>
          </w:p>
        </w:tc>
        <w:tc>
          <w:tcPr>
            <w:tcW w:w="1695"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Наименование показателя</w:t>
            </w:r>
          </w:p>
        </w:tc>
        <w:tc>
          <w:tcPr>
            <w:tcW w:w="1873"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Ответственный за показатель</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Единица измерения</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План</w:t>
            </w:r>
            <w:r>
              <w:rPr>
                <w:rFonts w:ascii="PT Astra Serif" w:eastAsia="Times New Roman" w:hAnsi="PT Astra Serif" w:cs="Times New Roman"/>
                <w:lang w:eastAsia="ru-RU"/>
              </w:rPr>
              <w:br/>
              <w:t>2023 год</w:t>
            </w:r>
          </w:p>
        </w:tc>
        <w:tc>
          <w:tcPr>
            <w:tcW w:w="856"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Факт</w:t>
            </w:r>
            <w:r>
              <w:rPr>
                <w:rFonts w:ascii="PT Astra Serif" w:eastAsia="Times New Roman" w:hAnsi="PT Astra Serif" w:cs="Times New Roman"/>
                <w:lang w:eastAsia="ru-RU"/>
              </w:rPr>
              <w:br/>
              <w:t>2023 год</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Процент выполнения</w:t>
            </w:r>
            <w:r>
              <w:rPr>
                <w:rFonts w:ascii="PT Astra Serif" w:eastAsia="Times New Roman" w:hAnsi="PT Astra Serif" w:cs="Times New Roman"/>
                <w:lang w:eastAsia="ru-RU"/>
              </w:rPr>
              <w:br/>
              <w:t>(</w:t>
            </w:r>
            <w:proofErr w:type="gramStart"/>
            <w:r>
              <w:rPr>
                <w:rFonts w:ascii="PT Astra Serif" w:eastAsia="Times New Roman" w:hAnsi="PT Astra Serif" w:cs="Times New Roman"/>
                <w:lang w:eastAsia="ru-RU"/>
              </w:rPr>
              <w:t>в</w:t>
            </w:r>
            <w:proofErr w:type="gramEnd"/>
            <w:r>
              <w:rPr>
                <w:rFonts w:ascii="PT Astra Serif" w:eastAsia="Times New Roman" w:hAnsi="PT Astra Serif" w:cs="Times New Roman"/>
                <w:lang w:eastAsia="ru-RU"/>
              </w:rPr>
              <w:t xml:space="preserve">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Достигнут/Не достигнут</w:t>
            </w:r>
          </w:p>
        </w:tc>
      </w:tr>
      <w:tr w:rsidR="00FD7FEA" w:rsidTr="00C1716C">
        <w:trPr>
          <w:trHeight w:val="269"/>
          <w:tblHeader/>
          <w:jc w:val="center"/>
        </w:trPr>
        <w:tc>
          <w:tcPr>
            <w:tcW w:w="449" w:type="dxa"/>
            <w:tcBorders>
              <w:top w:val="single" w:sz="4" w:space="0" w:color="auto"/>
              <w:left w:val="single" w:sz="4" w:space="0" w:color="auto"/>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ind w:right="-127"/>
              <w:jc w:val="cente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1695"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2</w:t>
            </w:r>
          </w:p>
        </w:tc>
        <w:tc>
          <w:tcPr>
            <w:tcW w:w="1873"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3</w:t>
            </w:r>
          </w:p>
        </w:tc>
        <w:tc>
          <w:tcPr>
            <w:tcW w:w="1276"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4</w:t>
            </w:r>
          </w:p>
        </w:tc>
        <w:tc>
          <w:tcPr>
            <w:tcW w:w="850"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5</w:t>
            </w:r>
          </w:p>
        </w:tc>
        <w:tc>
          <w:tcPr>
            <w:tcW w:w="856"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6</w:t>
            </w:r>
          </w:p>
        </w:tc>
        <w:tc>
          <w:tcPr>
            <w:tcW w:w="1412"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7</w:t>
            </w:r>
          </w:p>
        </w:tc>
        <w:tc>
          <w:tcPr>
            <w:tcW w:w="990" w:type="dxa"/>
            <w:tcBorders>
              <w:top w:val="single" w:sz="4" w:space="0" w:color="auto"/>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8</w:t>
            </w:r>
          </w:p>
        </w:tc>
      </w:tr>
      <w:tr w:rsidR="00FD7FEA" w:rsidTr="00C1716C">
        <w:trPr>
          <w:trHeight w:val="1987"/>
          <w:jc w:val="center"/>
        </w:trPr>
        <w:tc>
          <w:tcPr>
            <w:tcW w:w="449" w:type="dxa"/>
            <w:tcBorders>
              <w:top w:val="nil"/>
              <w:left w:val="single" w:sz="4" w:space="0" w:color="auto"/>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1</w:t>
            </w:r>
          </w:p>
        </w:tc>
        <w:tc>
          <w:tcPr>
            <w:tcW w:w="1695" w:type="dxa"/>
            <w:tcBorders>
              <w:top w:val="nil"/>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Доля занятых в сфере малого и среднего предпринимательства, включая индивидуальных предпринимате</w:t>
            </w:r>
            <w:r>
              <w:rPr>
                <w:rFonts w:ascii="PT Astra Serif" w:eastAsia="Times New Roman" w:hAnsi="PT Astra Serif" w:cs="Times New Roman"/>
                <w:lang w:eastAsia="ru-RU"/>
              </w:rPr>
              <w:lastRenderedPageBreak/>
              <w:t>лей и самозанятых граждан, в общем числе занятых Томской области</w:t>
            </w:r>
          </w:p>
        </w:tc>
        <w:tc>
          <w:tcPr>
            <w:tcW w:w="1873" w:type="dxa"/>
            <w:tcBorders>
              <w:top w:val="nil"/>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PT Astra Serif"/>
                <w:lang w:eastAsia="ru-RU"/>
              </w:rPr>
              <w:lastRenderedPageBreak/>
              <w:t>Департамент по развитию инновационной и предпринимательской деятельности Томской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тыс. чел.</w:t>
            </w:r>
          </w:p>
        </w:tc>
        <w:tc>
          <w:tcPr>
            <w:tcW w:w="850"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35,0</w:t>
            </w:r>
          </w:p>
        </w:tc>
        <w:tc>
          <w:tcPr>
            <w:tcW w:w="856"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37,5</w:t>
            </w:r>
          </w:p>
        </w:tc>
        <w:tc>
          <w:tcPr>
            <w:tcW w:w="1412"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107,0</w:t>
            </w:r>
          </w:p>
        </w:tc>
        <w:tc>
          <w:tcPr>
            <w:tcW w:w="990"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Достигнут</w:t>
            </w:r>
          </w:p>
        </w:tc>
      </w:tr>
      <w:tr w:rsidR="00FD7FEA" w:rsidTr="00C1716C">
        <w:trPr>
          <w:trHeight w:val="1236"/>
          <w:jc w:val="center"/>
        </w:trPr>
        <w:tc>
          <w:tcPr>
            <w:tcW w:w="449" w:type="dxa"/>
            <w:tcBorders>
              <w:top w:val="nil"/>
              <w:left w:val="single" w:sz="4" w:space="0" w:color="auto"/>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lastRenderedPageBreak/>
              <w:t>2</w:t>
            </w:r>
          </w:p>
        </w:tc>
        <w:tc>
          <w:tcPr>
            <w:tcW w:w="1695" w:type="dxa"/>
            <w:tcBorders>
              <w:top w:val="nil"/>
              <w:left w:val="nil"/>
              <w:bottom w:val="single" w:sz="4" w:space="0" w:color="auto"/>
              <w:right w:val="single" w:sz="4" w:space="0" w:color="auto"/>
            </w:tcBorders>
            <w:shd w:val="clear" w:color="auto" w:fill="auto"/>
            <w:vAlign w:val="center"/>
            <w:hideMark/>
          </w:tcPr>
          <w:p w:rsidR="00FD7FEA" w:rsidRDefault="00FD7FEA" w:rsidP="00C1716C">
            <w:pPr>
              <w:spacing w:after="0" w:line="180" w:lineRule="atLeast"/>
              <w:rPr>
                <w:rFonts w:ascii="PT Astra Serif" w:eastAsia="Times New Roman" w:hAnsi="PT Astra Serif" w:cs="Times New Roman"/>
                <w:lang w:eastAsia="ru-RU"/>
              </w:rPr>
            </w:pPr>
            <w:r>
              <w:rPr>
                <w:rFonts w:ascii="Times New Roman" w:eastAsia="Times New Roman" w:hAnsi="Times New Roman" w:cs="Times New Roman"/>
                <w:sz w:val="24"/>
                <w:szCs w:val="24"/>
                <w:lang w:eastAsia="ru-RU"/>
              </w:rPr>
              <w:t>Прирост валового регионального продукта в сопоставимых ценах</w:t>
            </w:r>
          </w:p>
        </w:tc>
        <w:tc>
          <w:tcPr>
            <w:tcW w:w="1873" w:type="dxa"/>
            <w:tcBorders>
              <w:top w:val="nil"/>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PT Astra Serif"/>
                <w:lang w:eastAsia="ru-RU"/>
              </w:rPr>
              <w:t>Департамент экономики Администрации Томской области</w:t>
            </w:r>
          </w:p>
        </w:tc>
        <w:tc>
          <w:tcPr>
            <w:tcW w:w="1276" w:type="dxa"/>
            <w:tcBorders>
              <w:top w:val="nil"/>
              <w:left w:val="nil"/>
              <w:bottom w:val="single" w:sz="4" w:space="0" w:color="auto"/>
              <w:right w:val="single" w:sz="4" w:space="0" w:color="auto"/>
            </w:tcBorders>
            <w:shd w:val="clear" w:color="auto" w:fill="auto"/>
            <w:vAlign w:val="center"/>
            <w:hideMark/>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w:t>
            </w:r>
          </w:p>
        </w:tc>
        <w:tc>
          <w:tcPr>
            <w:tcW w:w="850"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0,2</w:t>
            </w:r>
          </w:p>
        </w:tc>
        <w:tc>
          <w:tcPr>
            <w:tcW w:w="856"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0,1</w:t>
            </w:r>
          </w:p>
        </w:tc>
        <w:tc>
          <w:tcPr>
            <w:tcW w:w="1412"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50,0</w:t>
            </w:r>
          </w:p>
        </w:tc>
        <w:tc>
          <w:tcPr>
            <w:tcW w:w="990" w:type="dxa"/>
            <w:tcBorders>
              <w:top w:val="nil"/>
              <w:left w:val="nil"/>
              <w:bottom w:val="single" w:sz="4" w:space="0" w:color="auto"/>
              <w:right w:val="single" w:sz="4" w:space="0" w:color="auto"/>
            </w:tcBorders>
            <w:shd w:val="clear" w:color="auto" w:fill="auto"/>
            <w:vAlign w:val="center"/>
          </w:tcPr>
          <w:p w:rsidR="00FD7FEA" w:rsidRDefault="00FD7FEA" w:rsidP="00C1716C">
            <w:pPr>
              <w:tabs>
                <w:tab w:val="left" w:pos="0"/>
              </w:tabs>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Не достигнут</w:t>
            </w:r>
          </w:p>
        </w:tc>
      </w:tr>
    </w:tbl>
    <w:p w:rsidR="00FD7FEA" w:rsidRDefault="00FD7FEA" w:rsidP="00FD7FEA">
      <w:pPr>
        <w:tabs>
          <w:tab w:val="left" w:pos="0"/>
        </w:tabs>
        <w:spacing w:after="0" w:line="240" w:lineRule="auto"/>
        <w:jc w:val="center"/>
        <w:rPr>
          <w:rFonts w:ascii="PT Astra Serif" w:eastAsia="Times New Roman" w:hAnsi="PT Astra Serif" w:cs="Times New Roman"/>
          <w:b/>
          <w:sz w:val="26"/>
          <w:szCs w:val="26"/>
        </w:rPr>
      </w:pPr>
    </w:p>
    <w:p w:rsidR="00FD7FEA" w:rsidRDefault="00FD7FEA" w:rsidP="00FD7FEA">
      <w:pPr>
        <w:tabs>
          <w:tab w:val="left" w:pos="0"/>
        </w:tabs>
        <w:spacing w:after="0" w:line="240" w:lineRule="auto"/>
        <w:ind w:firstLine="709"/>
        <w:jc w:val="center"/>
        <w:rPr>
          <w:rFonts w:ascii="PT Astra Serif" w:eastAsia="Times New Roman" w:hAnsi="PT Astra Serif" w:cs="Times New Roman"/>
          <w:b/>
          <w:sz w:val="26"/>
          <w:szCs w:val="26"/>
        </w:rPr>
      </w:pPr>
      <w:r>
        <w:rPr>
          <w:rFonts w:ascii="PT Astra Serif" w:eastAsia="Times New Roman" w:hAnsi="PT Astra Serif" w:cs="Times New Roman"/>
          <w:b/>
          <w:sz w:val="26"/>
          <w:szCs w:val="26"/>
        </w:rPr>
        <w:t xml:space="preserve">3.3. Сведения о достижении значений целевых показателей </w:t>
      </w:r>
    </w:p>
    <w:p w:rsidR="00FD7FEA" w:rsidRDefault="00FD7FEA" w:rsidP="00FD7FEA">
      <w:pPr>
        <w:spacing w:after="0" w:line="240" w:lineRule="auto"/>
        <w:ind w:firstLine="709"/>
        <w:jc w:val="both"/>
        <w:rPr>
          <w:rFonts w:ascii="PT Astra Serif" w:hAnsi="PT Astra Serif"/>
          <w:sz w:val="26"/>
          <w:szCs w:val="26"/>
        </w:rPr>
      </w:pPr>
      <w:r>
        <w:rPr>
          <w:rFonts w:ascii="PT Astra Serif" w:hAnsi="PT Astra Serif" w:cs="Times New Roman"/>
          <w:sz w:val="26"/>
          <w:szCs w:val="26"/>
          <w:lang w:eastAsia="ru-RU"/>
        </w:rPr>
        <w:t xml:space="preserve">Доля занятых в </w:t>
      </w:r>
      <w:r>
        <w:rPr>
          <w:rFonts w:ascii="PT Astra Serif" w:hAnsi="PT Astra Serif"/>
          <w:sz w:val="26"/>
          <w:szCs w:val="26"/>
        </w:rPr>
        <w:t xml:space="preserve">сфере малого и среднего предпринимательства, включая индивидуальных предпринимателей и самозанятых граждан, в общем числе занятых Томской области в 2023 году составил 37,5% (факт 2022 года </w:t>
      </w:r>
      <w:r w:rsidRPr="007556C9">
        <w:rPr>
          <w:rFonts w:ascii="PT Astra Serif" w:hAnsi="PT Astra Serif"/>
          <w:sz w:val="26"/>
          <w:szCs w:val="26"/>
        </w:rPr>
        <w:t>– 36,4%) при</w:t>
      </w:r>
      <w:r>
        <w:rPr>
          <w:rFonts w:ascii="PT Astra Serif" w:hAnsi="PT Astra Serif"/>
          <w:sz w:val="26"/>
          <w:szCs w:val="26"/>
        </w:rPr>
        <w:t xml:space="preserve"> плане 35%. Превышение показателей обусловлено ростом численности самозанятых граждан в сравнении с 2022 годом более чем на 68%. </w:t>
      </w:r>
    </w:p>
    <w:p w:rsidR="00FD7FEA" w:rsidRDefault="00FD7FEA" w:rsidP="00FD7FEA">
      <w:pPr>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 xml:space="preserve">По </w:t>
      </w:r>
      <w:r>
        <w:rPr>
          <w:rFonts w:ascii="PT Astra Serif" w:hAnsi="PT Astra Serif"/>
          <w:sz w:val="26"/>
          <w:szCs w:val="26"/>
          <w:lang w:eastAsia="ru-RU"/>
        </w:rPr>
        <w:t>итогам</w:t>
      </w:r>
      <w:r>
        <w:rPr>
          <w:rFonts w:ascii="PT Astra Serif" w:hAnsi="PT Astra Serif" w:cs="PT Astra Serif"/>
          <w:bCs/>
          <w:iCs/>
          <w:sz w:val="26"/>
          <w:szCs w:val="26"/>
        </w:rPr>
        <w:t xml:space="preserve"> 2023 года прирост валового регионального продукта в сопоставимых ценах составил 0,1% (факт 2022 года – «-1,3%») при плановом значении показателя 2023 года 0,2%. Сдерживающими экономический рост стали следующие факторы:</w:t>
      </w:r>
    </w:p>
    <w:p w:rsidR="00FD7FEA" w:rsidRDefault="00FD7FEA" w:rsidP="00FD7FEA">
      <w:pPr>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 сокращение добычи нефти, в том числе из-за решения на федеральном уровне о добровольном снижении добычи (до 500 тыс. баррелей в сутки);</w:t>
      </w:r>
    </w:p>
    <w:p w:rsidR="00FD7FEA" w:rsidRDefault="00FD7FEA" w:rsidP="00FD7FEA">
      <w:pPr>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 транспортно-логистические экспортные ограничения, влияющие на объемы лесоперерабатывающего производства;</w:t>
      </w:r>
    </w:p>
    <w:p w:rsidR="00FD7FEA" w:rsidRDefault="00FD7FEA" w:rsidP="00FD7FEA">
      <w:pPr>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 высокий уровень инфляционных ожиданий, что отразилось на увеличении себестоимости продукции.</w:t>
      </w:r>
    </w:p>
    <w:p w:rsidR="00FD7FEA" w:rsidRDefault="00FD7FEA" w:rsidP="00FD7FEA">
      <w:pPr>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 xml:space="preserve">В целях повышения социально-экономического развития региона, привлечения инвестиций используются действующие федеральные механизмы и инструменты  поддержки </w:t>
      </w:r>
      <w:r w:rsidRPr="007556C9">
        <w:rPr>
          <w:rFonts w:ascii="PT Astra Serif" w:hAnsi="PT Astra Serif" w:cs="PT Astra Serif"/>
          <w:bCs/>
          <w:iCs/>
          <w:sz w:val="26"/>
          <w:szCs w:val="26"/>
        </w:rPr>
        <w:t>развития основных сфер деятельности. Также на региональном уровне осуществляется государственная поддержка ряда отраслей, в том числе в сфере промышленности и поддержки субъектов</w:t>
      </w:r>
      <w:r>
        <w:rPr>
          <w:rFonts w:ascii="PT Astra Serif" w:hAnsi="PT Astra Serif" w:cs="PT Astra Serif"/>
          <w:bCs/>
          <w:iCs/>
          <w:sz w:val="26"/>
          <w:szCs w:val="26"/>
        </w:rPr>
        <w:t xml:space="preserve"> предпринимательства.</w:t>
      </w:r>
    </w:p>
    <w:p w:rsidR="00FD7FEA" w:rsidRDefault="00FD7FEA" w:rsidP="00FD7FEA">
      <w:pPr>
        <w:spacing w:after="0" w:line="240" w:lineRule="auto"/>
        <w:ind w:firstLine="709"/>
        <w:jc w:val="both"/>
        <w:rPr>
          <w:rFonts w:ascii="PT Astra Serif" w:hAnsi="PT Astra Serif"/>
          <w:sz w:val="26"/>
          <w:szCs w:val="26"/>
          <w:lang w:eastAsia="ru-RU"/>
        </w:rPr>
      </w:pPr>
    </w:p>
    <w:p w:rsidR="00FD7FEA" w:rsidRDefault="00FD7FEA" w:rsidP="00FD7FEA">
      <w:pPr>
        <w:pStyle w:val="a7"/>
        <w:keepNext/>
        <w:tabs>
          <w:tab w:val="left" w:pos="993"/>
        </w:tabs>
        <w:ind w:firstLine="0"/>
        <w:jc w:val="center"/>
        <w:rPr>
          <w:rFonts w:ascii="PT Astra Serif" w:hAnsi="PT Astra Serif"/>
          <w:b/>
        </w:rPr>
      </w:pPr>
      <w:r>
        <w:rPr>
          <w:rFonts w:ascii="PT Astra Serif" w:hAnsi="PT Astra Serif"/>
          <w:b/>
        </w:rPr>
        <w:t>3.4. Основные результаты реализации государственной программы</w:t>
      </w:r>
    </w:p>
    <w:p w:rsidR="00FD7FEA" w:rsidRDefault="00FD7FEA" w:rsidP="00FD7FEA">
      <w:pPr>
        <w:pStyle w:val="a7"/>
        <w:keepNext/>
        <w:tabs>
          <w:tab w:val="left" w:pos="993"/>
        </w:tabs>
        <w:ind w:firstLine="0"/>
        <w:jc w:val="center"/>
        <w:rPr>
          <w:rFonts w:ascii="PT Astra Serif" w:hAnsi="PT Astra Serif"/>
          <w:b/>
        </w:rPr>
      </w:pPr>
    </w:p>
    <w:p w:rsidR="00FD7FEA" w:rsidRDefault="00FD7FEA" w:rsidP="00FD7FEA">
      <w:pPr>
        <w:pStyle w:val="a7"/>
        <w:keepNext/>
        <w:tabs>
          <w:tab w:val="left" w:pos="993"/>
        </w:tabs>
        <w:spacing w:after="120"/>
        <w:ind w:firstLine="0"/>
        <w:jc w:val="center"/>
        <w:rPr>
          <w:rFonts w:ascii="PT Astra Serif" w:hAnsi="PT Astra Serif"/>
          <w:b/>
        </w:rPr>
      </w:pPr>
      <w:r>
        <w:rPr>
          <w:rFonts w:ascii="PT Astra Serif" w:hAnsi="PT Astra Serif"/>
          <w:b/>
          <w:lang w:val="en-US"/>
        </w:rPr>
        <w:t>I</w:t>
      </w:r>
      <w:r>
        <w:rPr>
          <w:rFonts w:ascii="PT Astra Serif" w:hAnsi="PT Astra Serif"/>
          <w:b/>
        </w:rPr>
        <w:t>. Процессная часть</w:t>
      </w:r>
    </w:p>
    <w:p w:rsidR="00FD7FEA" w:rsidRDefault="00FD7FEA" w:rsidP="00FD7FEA">
      <w:pPr>
        <w:pStyle w:val="a7"/>
        <w:keepNext/>
        <w:tabs>
          <w:tab w:val="left" w:pos="993"/>
        </w:tabs>
        <w:ind w:firstLine="567"/>
        <w:rPr>
          <w:rFonts w:ascii="PT Astra Serif" w:hAnsi="PT Astra Serif"/>
          <w:b/>
          <w:i/>
          <w:lang w:eastAsia="ru-RU"/>
        </w:rPr>
      </w:pPr>
      <w:r>
        <w:rPr>
          <w:rFonts w:ascii="PT Astra Serif" w:hAnsi="PT Astra Serif"/>
          <w:b/>
          <w:lang w:eastAsia="ru-RU"/>
        </w:rPr>
        <w:t>Подпрограмма 1</w:t>
      </w:r>
      <w:r>
        <w:rPr>
          <w:rFonts w:ascii="PT Astra Serif" w:hAnsi="PT Astra Serif"/>
          <w:b/>
          <w:i/>
          <w:lang w:eastAsia="ru-RU"/>
        </w:rPr>
        <w:t xml:space="preserve"> «</w:t>
      </w:r>
      <w:r>
        <w:rPr>
          <w:rFonts w:ascii="PT Astra Serif" w:hAnsi="PT Astra Serif" w:cs="PT Astra Serif"/>
          <w:b/>
          <w:i/>
        </w:rPr>
        <w:t>Развитие малого и среднего предпринимательства в Томской области</w:t>
      </w:r>
      <w:r>
        <w:rPr>
          <w:rFonts w:ascii="PT Astra Serif" w:hAnsi="PT Astra Serif"/>
          <w:b/>
          <w:i/>
          <w:lang w:eastAsia="ru-RU"/>
        </w:rPr>
        <w:t>».</w:t>
      </w:r>
    </w:p>
    <w:p w:rsidR="00FD7FEA" w:rsidRDefault="00FD7FEA" w:rsidP="00FD7FEA">
      <w:pPr>
        <w:pStyle w:val="a7"/>
        <w:ind w:left="710" w:firstLine="0"/>
        <w:jc w:val="center"/>
        <w:rPr>
          <w:rFonts w:ascii="PT Astra Serif" w:hAnsi="PT Astra Serif"/>
          <w:b/>
        </w:rPr>
      </w:pPr>
      <w:r>
        <w:rPr>
          <w:rFonts w:ascii="PT Astra Serif" w:hAnsi="PT Astra Serif"/>
          <w:b/>
        </w:rPr>
        <w:t>Показатели цели Подпрограммы 1 за 2023 год</w:t>
      </w:r>
    </w:p>
    <w:p w:rsidR="00FD7FEA" w:rsidRDefault="00FD7FEA" w:rsidP="00FD7FEA">
      <w:pPr>
        <w:pStyle w:val="a7"/>
        <w:ind w:left="710" w:firstLine="0"/>
        <w:jc w:val="right"/>
        <w:rPr>
          <w:rFonts w:ascii="PT Astra Serif" w:hAnsi="PT Astra Serif"/>
          <w:b/>
        </w:rPr>
      </w:pPr>
      <w:r>
        <w:rPr>
          <w:rFonts w:ascii="PT Astra Serif" w:hAnsi="PT Astra Serif"/>
          <w:bCs/>
        </w:rPr>
        <w:t>Таблица 3</w:t>
      </w:r>
    </w:p>
    <w:tbl>
      <w:tblPr>
        <w:tblW w:w="9297" w:type="dxa"/>
        <w:tblInd w:w="108" w:type="dxa"/>
        <w:tblLayout w:type="fixed"/>
        <w:tblLook w:val="0000" w:firstRow="0" w:lastRow="0" w:firstColumn="0" w:lastColumn="0" w:noHBand="0" w:noVBand="0"/>
      </w:tblPr>
      <w:tblGrid>
        <w:gridCol w:w="426"/>
        <w:gridCol w:w="2126"/>
        <w:gridCol w:w="1705"/>
        <w:gridCol w:w="1250"/>
        <w:gridCol w:w="992"/>
        <w:gridCol w:w="872"/>
        <w:gridCol w:w="851"/>
        <w:gridCol w:w="1075"/>
      </w:tblGrid>
      <w:tr w:rsidR="00FD7FEA" w:rsidTr="00C1716C">
        <w:trPr>
          <w:trHeight w:val="906"/>
          <w:tblHeader/>
        </w:trPr>
        <w:tc>
          <w:tcPr>
            <w:tcW w:w="4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lastRenderedPageBreak/>
              <w:t>№</w:t>
            </w:r>
            <w:r>
              <w:rPr>
                <w:rFonts w:ascii="PT Astra Serif" w:eastAsia="Times New Roman" w:hAnsi="PT Astra Serif" w:cs="Times New Roman"/>
                <w:bCs/>
                <w:lang w:eastAsia="ru-RU"/>
              </w:rPr>
              <w:br/>
              <w:t>п/п</w:t>
            </w:r>
          </w:p>
        </w:tc>
        <w:tc>
          <w:tcPr>
            <w:tcW w:w="21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Наименование показателя</w:t>
            </w:r>
          </w:p>
        </w:tc>
        <w:tc>
          <w:tcPr>
            <w:tcW w:w="1705"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Ответственный за показатель</w:t>
            </w:r>
          </w:p>
        </w:tc>
        <w:tc>
          <w:tcPr>
            <w:tcW w:w="12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Единица измерения</w:t>
            </w:r>
          </w:p>
        </w:tc>
        <w:tc>
          <w:tcPr>
            <w:tcW w:w="99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План </w:t>
            </w:r>
            <w:r>
              <w:rPr>
                <w:rFonts w:ascii="PT Astra Serif" w:eastAsia="Times New Roman" w:hAnsi="PT Astra Serif" w:cs="Times New Roman"/>
                <w:bCs/>
                <w:lang w:eastAsia="ru-RU"/>
              </w:rPr>
              <w:br/>
              <w:t>2023 год</w:t>
            </w:r>
          </w:p>
        </w:tc>
        <w:tc>
          <w:tcPr>
            <w:tcW w:w="87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ind w:left="-86" w:right="-108"/>
              <w:contextualSpacing/>
              <w:jc w:val="center"/>
              <w:rPr>
                <w:rFonts w:ascii="PT Astra Serif" w:eastAsia="Times New Roman" w:hAnsi="PT Astra Serif" w:cs="Times New Roman"/>
                <w:bCs/>
                <w:lang w:eastAsia="ru-RU"/>
              </w:rPr>
            </w:pPr>
            <w:r>
              <w:rPr>
                <w:rFonts w:ascii="PT Astra Serif" w:hAnsi="PT Astra Serif"/>
              </w:rPr>
              <w:t>2023 год (оценка)</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Процент выполнения </w:t>
            </w:r>
            <w:r>
              <w:rPr>
                <w:rFonts w:ascii="PT Astra Serif" w:eastAsia="Times New Roman" w:hAnsi="PT Astra Serif" w:cs="Times New Roman"/>
                <w:bCs/>
                <w:lang w:eastAsia="ru-RU"/>
              </w:rPr>
              <w:br/>
              <w:t>(в %)</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uto"/>
              <w:ind w:left="-108" w:right="-167"/>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p w:rsidR="00FD7FEA" w:rsidRDefault="00FD7FEA" w:rsidP="00C1716C">
            <w:pPr>
              <w:spacing w:after="0" w:line="240" w:lineRule="auto"/>
              <w:ind w:right="-108"/>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p w:rsidR="00FD7FEA" w:rsidRDefault="00FD7FEA" w:rsidP="00C1716C">
            <w:pPr>
              <w:spacing w:after="0" w:line="240" w:lineRule="auto"/>
              <w:contextualSpacing/>
              <w:jc w:val="center"/>
              <w:rPr>
                <w:rFonts w:ascii="PT Astra Serif" w:eastAsia="Times New Roman" w:hAnsi="PT Astra Serif" w:cs="Times New Roman"/>
                <w:lang w:eastAsia="ru-RU"/>
              </w:rPr>
            </w:pPr>
          </w:p>
        </w:tc>
      </w:tr>
      <w:tr w:rsidR="00FD7FEA" w:rsidTr="00C1716C">
        <w:trPr>
          <w:trHeight w:val="906"/>
        </w:trPr>
        <w:tc>
          <w:tcPr>
            <w:tcW w:w="4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w:t>
            </w:r>
          </w:p>
        </w:tc>
        <w:tc>
          <w:tcPr>
            <w:tcW w:w="21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Оборот малых и средних предприятий, включая микропредприятия</w:t>
            </w:r>
          </w:p>
        </w:tc>
        <w:tc>
          <w:tcPr>
            <w:tcW w:w="1705"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uto"/>
              <w:jc w:val="center"/>
              <w:rPr>
                <w:rFonts w:ascii="PT Astra Serif" w:eastAsia="Times New Roman" w:hAnsi="PT Astra Serif" w:cs="Times New Roman"/>
                <w:lang w:eastAsia="ru-RU"/>
              </w:rPr>
            </w:pPr>
            <w:r>
              <w:rPr>
                <w:rFonts w:ascii="PT Astra Serif" w:eastAsia="Times New Roman" w:hAnsi="PT Astra Serif" w:cs="Times New Roman"/>
                <w:lang w:eastAsia="ru-RU"/>
              </w:rPr>
              <w:t>Департамент по развитию инновационной и предпринимательской деятельности Томской области</w:t>
            </w:r>
          </w:p>
        </w:tc>
        <w:tc>
          <w:tcPr>
            <w:tcW w:w="12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ind w:left="-137" w:right="-108"/>
              <w:jc w:val="center"/>
              <w:rPr>
                <w:rFonts w:ascii="PT Astra Serif" w:eastAsia="Times New Roman" w:hAnsi="PT Astra Serif" w:cs="Times New Roman"/>
                <w:lang w:eastAsia="ru-RU"/>
              </w:rPr>
            </w:pPr>
            <w:r>
              <w:rPr>
                <w:rFonts w:ascii="PT Astra Serif" w:eastAsia="Times New Roman" w:hAnsi="PT Astra Serif" w:cs="Times New Roman"/>
                <w:lang w:eastAsia="ru-RU"/>
              </w:rPr>
              <w:t>млрд. руб.</w:t>
            </w:r>
          </w:p>
        </w:tc>
        <w:tc>
          <w:tcPr>
            <w:tcW w:w="99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572,7</w:t>
            </w:r>
          </w:p>
        </w:tc>
        <w:tc>
          <w:tcPr>
            <w:tcW w:w="87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val="en-US" w:eastAsia="ru-RU"/>
              </w:rPr>
              <w:t>612</w:t>
            </w:r>
            <w:r>
              <w:rPr>
                <w:rFonts w:ascii="PT Astra Serif" w:eastAsia="Times New Roman" w:hAnsi="PT Astra Serif" w:cs="Times New Roman"/>
                <w:bCs/>
                <w:lang w:eastAsia="ru-RU"/>
              </w:rPr>
              <w:t>,7*</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106,9</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uto"/>
              <w:ind w:left="-108" w:right="-25"/>
              <w:contextualSpacing/>
              <w:rPr>
                <w:rFonts w:ascii="PT Astra Serif" w:eastAsia="Times New Roman" w:hAnsi="PT Astra Serif" w:cs="Times New Roman"/>
                <w:bCs/>
                <w:lang w:eastAsia="ru-RU"/>
              </w:rPr>
            </w:pPr>
            <w:r>
              <w:rPr>
                <w:rFonts w:ascii="PT Astra Serif" w:eastAsia="Times New Roman" w:hAnsi="PT Astra Serif" w:cs="Times New Roman"/>
                <w:lang w:eastAsia="ru-RU"/>
              </w:rPr>
              <w:t>Достигнут</w:t>
            </w:r>
          </w:p>
        </w:tc>
      </w:tr>
      <w:tr w:rsidR="00FD7FEA" w:rsidTr="00C1716C">
        <w:trPr>
          <w:trHeight w:val="906"/>
        </w:trPr>
        <w:tc>
          <w:tcPr>
            <w:tcW w:w="4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2</w:t>
            </w:r>
          </w:p>
        </w:tc>
        <w:tc>
          <w:tcPr>
            <w:tcW w:w="212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rPr>
                <w:rFonts w:ascii="PT Astra Serif" w:eastAsia="Times New Roman" w:hAnsi="PT Astra Serif" w:cs="Times New Roman"/>
                <w:lang w:eastAsia="ru-RU"/>
              </w:rPr>
            </w:pPr>
            <w:r>
              <w:rPr>
                <w:rFonts w:ascii="PT Astra Serif" w:eastAsia="Times New Roman" w:hAnsi="PT Astra Serif" w:cs="Times New Roman"/>
                <w:lang w:eastAsia="ru-RU"/>
              </w:rPr>
              <w:t>Количество субъектов малого и среднего предпринимательства (включая индивидуальных предпринимателей и самозанятых граждан) в расчете на 1 тыс. человек населения Томской области</w:t>
            </w:r>
          </w:p>
        </w:tc>
        <w:tc>
          <w:tcPr>
            <w:tcW w:w="1705"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uto"/>
              <w:jc w:val="center"/>
              <w:rPr>
                <w:rFonts w:ascii="PT Astra Serif" w:hAnsi="PT Astra Serif" w:cs="PT Astra Serif"/>
              </w:rPr>
            </w:pPr>
            <w:r>
              <w:rPr>
                <w:rFonts w:ascii="PT Astra Serif" w:eastAsia="Times New Roman" w:hAnsi="PT Astra Serif" w:cs="Times New Roman"/>
                <w:lang w:eastAsia="ru-RU"/>
              </w:rPr>
              <w:t>Департамент по развитию инновационной и предпринимательской деятельности Томской области</w:t>
            </w:r>
          </w:p>
        </w:tc>
        <w:tc>
          <w:tcPr>
            <w:tcW w:w="12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hAnsi="PT Astra Serif"/>
              </w:rPr>
            </w:pPr>
            <w:r>
              <w:rPr>
                <w:rFonts w:ascii="PT Astra Serif" w:hAnsi="PT Astra Serif"/>
              </w:rPr>
              <w:t>ед.</w:t>
            </w:r>
          </w:p>
        </w:tc>
        <w:tc>
          <w:tcPr>
            <w:tcW w:w="99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75,1</w:t>
            </w:r>
          </w:p>
        </w:tc>
        <w:tc>
          <w:tcPr>
            <w:tcW w:w="87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90</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hAnsi="PT Astra Serif"/>
              </w:rPr>
            </w:pPr>
            <w:r>
              <w:rPr>
                <w:rFonts w:ascii="PT Astra Serif" w:hAnsi="PT Astra Serif"/>
              </w:rPr>
              <w:t>119,8</w:t>
            </w:r>
          </w:p>
        </w:tc>
        <w:tc>
          <w:tcPr>
            <w:tcW w:w="10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uto"/>
              <w:ind w:left="-108" w:right="-167"/>
              <w:contextualSpacing/>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tc>
      </w:tr>
    </w:tbl>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rPr>
      </w:pPr>
      <w:r>
        <w:rPr>
          <w:rFonts w:ascii="PT Astra Serif" w:eastAsia="Times New Roman" w:hAnsi="PT Astra Serif" w:cs="Times New Roman"/>
          <w:b/>
          <w:bCs/>
          <w:sz w:val="26"/>
          <w:szCs w:val="26"/>
        </w:rPr>
        <w:t>*</w:t>
      </w:r>
      <w:r>
        <w:rPr>
          <w:rFonts w:ascii="PT Astra Serif" w:eastAsia="Times New Roman" w:hAnsi="PT Astra Serif" w:cs="Times New Roman"/>
        </w:rPr>
        <w:t xml:space="preserve"> предварительная оценка</w:t>
      </w:r>
    </w:p>
    <w:p w:rsidR="00FD7FEA" w:rsidRDefault="00FD7FEA" w:rsidP="00FD7FEA">
      <w:pPr>
        <w:spacing w:after="0" w:line="240" w:lineRule="auto"/>
        <w:ind w:firstLine="851"/>
        <w:jc w:val="both"/>
        <w:rPr>
          <w:rFonts w:ascii="PT Astra Serif" w:hAnsi="PT Astra Serif"/>
          <w:sz w:val="26"/>
          <w:szCs w:val="26"/>
        </w:rPr>
      </w:pPr>
    </w:p>
    <w:p w:rsidR="00FD7FEA" w:rsidRDefault="00FD7FEA" w:rsidP="00FD7FEA">
      <w:pPr>
        <w:spacing w:after="0" w:line="240" w:lineRule="auto"/>
        <w:ind w:firstLine="709"/>
        <w:jc w:val="both"/>
        <w:rPr>
          <w:rFonts w:ascii="PT Astra Serif" w:hAnsi="PT Astra Serif"/>
          <w:sz w:val="26"/>
          <w:szCs w:val="26"/>
        </w:rPr>
      </w:pPr>
      <w:r>
        <w:rPr>
          <w:rFonts w:ascii="PT Astra Serif" w:hAnsi="PT Astra Serif"/>
          <w:sz w:val="26"/>
          <w:szCs w:val="26"/>
        </w:rPr>
        <w:t xml:space="preserve">По предварительной </w:t>
      </w:r>
      <w:r w:rsidRPr="007556C9">
        <w:rPr>
          <w:rFonts w:ascii="PT Astra Serif" w:hAnsi="PT Astra Serif"/>
          <w:sz w:val="26"/>
          <w:szCs w:val="26"/>
        </w:rPr>
        <w:t>оценке Томскстата оборот малых (в том числе микропредприятий)  и средних предприятий за 2023 год составил 612,7 млрд. рублей при плановом значении показателя 572,7 млрд. рублей. Превышение фактического показателя над плановым показателем обусловлено</w:t>
      </w:r>
      <w:r>
        <w:rPr>
          <w:rFonts w:ascii="PT Astra Serif" w:hAnsi="PT Astra Serif"/>
          <w:sz w:val="26"/>
          <w:szCs w:val="26"/>
        </w:rPr>
        <w:t xml:space="preserve"> постепенным восстановлением деловой активности субъектов МСП, формированием новых логистических каналов поставок и сбыта продукции, что соответствует общероссийским тенденциям. Значительную роль в этом сыграли меры государственной поддержки субъектов МСП.</w:t>
      </w:r>
    </w:p>
    <w:p w:rsidR="00FD7FEA" w:rsidRDefault="00FD7FEA" w:rsidP="00FD7FEA">
      <w:pPr>
        <w:spacing w:after="0" w:line="240" w:lineRule="auto"/>
        <w:ind w:firstLine="709"/>
        <w:jc w:val="both"/>
        <w:rPr>
          <w:rFonts w:ascii="PT Astra Serif" w:hAnsi="PT Astra Serif"/>
          <w:sz w:val="26"/>
          <w:szCs w:val="26"/>
        </w:rPr>
      </w:pPr>
      <w:r>
        <w:rPr>
          <w:rFonts w:ascii="PT Astra Serif" w:hAnsi="PT Astra Serif"/>
          <w:sz w:val="26"/>
          <w:szCs w:val="26"/>
        </w:rPr>
        <w:t xml:space="preserve">Количество субъектов малого и среднего предпринимательства (включая индивидуальных предпринимателей) в расчете на 1 тыс. человек населения Томской области составило 90 единиц (план – 75,1 единиц). </w:t>
      </w:r>
    </w:p>
    <w:p w:rsidR="00FD7FEA" w:rsidRPr="007556C9" w:rsidRDefault="00FD7FEA" w:rsidP="00FD7FEA">
      <w:pPr>
        <w:spacing w:after="0" w:line="240" w:lineRule="auto"/>
        <w:ind w:firstLine="709"/>
        <w:jc w:val="both"/>
        <w:rPr>
          <w:rFonts w:ascii="PT Astra Serif" w:hAnsi="PT Astra Serif"/>
          <w:sz w:val="26"/>
          <w:szCs w:val="26"/>
          <w:lang w:eastAsia="ru-RU"/>
        </w:rPr>
      </w:pPr>
      <w:r>
        <w:rPr>
          <w:rFonts w:ascii="PT Astra Serif" w:hAnsi="PT Astra Serif"/>
          <w:sz w:val="26"/>
          <w:szCs w:val="26"/>
          <w:lang w:eastAsia="ru-RU"/>
        </w:rPr>
        <w:t xml:space="preserve">По итогам реализации </w:t>
      </w:r>
      <w:r>
        <w:rPr>
          <w:rFonts w:ascii="PT Astra Serif" w:hAnsi="PT Astra Serif"/>
          <w:i/>
          <w:sz w:val="26"/>
          <w:szCs w:val="26"/>
          <w:lang w:eastAsia="ru-RU"/>
        </w:rPr>
        <w:t>основного мероприятия «Обеспечение доступности для субъектов малого и среднего предпринимательства информационно-консультационной поддержки ведения предпринимательской деятельности»</w:t>
      </w:r>
      <w:r>
        <w:rPr>
          <w:rFonts w:ascii="PT Astra Serif" w:hAnsi="PT Astra Serif"/>
          <w:sz w:val="26"/>
          <w:szCs w:val="26"/>
          <w:lang w:eastAsia="ru-RU"/>
        </w:rPr>
        <w:t xml:space="preserve"> количество обращений субъектов малого и среднего предпринимательства за информационно-консультационной </w:t>
      </w:r>
      <w:r w:rsidRPr="007556C9">
        <w:rPr>
          <w:rFonts w:ascii="PT Astra Serif" w:hAnsi="PT Astra Serif"/>
          <w:sz w:val="26"/>
          <w:szCs w:val="26"/>
          <w:lang w:eastAsia="ru-RU"/>
        </w:rPr>
        <w:t>поддержкой ведения предпринимательской деятельности достигло 222 223 единицы на платформе https://mb.tomsk.ru/ при плановом значении показателя 200 150 единиц. Перевыполнение показателя связано с востребованностью и доступностью консультационной поддержки в онлайн-формате.</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xml:space="preserve">Некоммерческой организацией «Фонд развития бизнеса» (далее – НКО «Фонд развития бизнеса») проведены исследования состояния и тенденций развития МСП в Томской области, опрошено 616 респондентов </w:t>
      </w:r>
      <w:r w:rsidRPr="007556C9">
        <w:rPr>
          <w:rFonts w:ascii="PT Astra Serif" w:hAnsi="PT Astra Serif"/>
          <w:sz w:val="26"/>
          <w:szCs w:val="26"/>
          <w:lang w:eastAsia="ru-RU"/>
        </w:rPr>
        <w:t>при плановом значении показателя 150 человек</w:t>
      </w:r>
      <w:r w:rsidRPr="007556C9">
        <w:rPr>
          <w:rFonts w:ascii="PT Astra Serif" w:eastAsia="Times New Roman" w:hAnsi="PT Astra Serif" w:cs="Times New Roman"/>
          <w:sz w:val="26"/>
          <w:szCs w:val="26"/>
          <w:lang w:eastAsia="ru-RU"/>
        </w:rPr>
        <w:t xml:space="preserve">. Цель исследования – оценка состояния и </w:t>
      </w:r>
      <w:r w:rsidRPr="007556C9">
        <w:rPr>
          <w:rFonts w:ascii="PT Astra Serif" w:eastAsia="Times New Roman" w:hAnsi="PT Astra Serif" w:cs="Times New Roman"/>
          <w:sz w:val="26"/>
          <w:szCs w:val="26"/>
          <w:lang w:eastAsia="ru-RU"/>
        </w:rPr>
        <w:lastRenderedPageBreak/>
        <w:t>перспектив развития МСП в Томской области в 2023 году. По результатам опроса получена объективная оценка состояния субъектов</w:t>
      </w:r>
      <w:r>
        <w:rPr>
          <w:rFonts w:ascii="PT Astra Serif" w:eastAsia="Times New Roman" w:hAnsi="PT Astra Serif" w:cs="Times New Roman"/>
          <w:sz w:val="26"/>
          <w:szCs w:val="26"/>
          <w:lang w:eastAsia="ru-RU"/>
        </w:rPr>
        <w:t xml:space="preserve"> МСП, индивидуальных предпринимателей, выявлены тенденций развития МСП. </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val="x-none" w:eastAsia="ru-RU"/>
        </w:rPr>
        <w:t xml:space="preserve">По итогам реализации </w:t>
      </w:r>
      <w:r>
        <w:rPr>
          <w:rFonts w:ascii="PT Astra Serif" w:eastAsia="Times New Roman" w:hAnsi="PT Astra Serif" w:cs="Times New Roman"/>
          <w:i/>
          <w:sz w:val="26"/>
          <w:szCs w:val="26"/>
          <w:lang w:eastAsia="ru-RU"/>
        </w:rPr>
        <w:t>основного</w:t>
      </w:r>
      <w:r>
        <w:rPr>
          <w:rFonts w:ascii="PT Astra Serif" w:eastAsia="Times New Roman" w:hAnsi="PT Astra Serif" w:cs="Times New Roman"/>
          <w:sz w:val="26"/>
          <w:szCs w:val="26"/>
          <w:lang w:eastAsia="ru-RU"/>
        </w:rPr>
        <w:t xml:space="preserve"> </w:t>
      </w:r>
      <w:r>
        <w:rPr>
          <w:rFonts w:ascii="PT Astra Serif" w:eastAsia="Times New Roman" w:hAnsi="PT Astra Serif" w:cs="Times New Roman"/>
          <w:i/>
          <w:sz w:val="26"/>
          <w:szCs w:val="26"/>
          <w:lang w:val="x-none" w:eastAsia="ru-RU"/>
        </w:rPr>
        <w:t>мероприятия</w:t>
      </w:r>
      <w:r>
        <w:rPr>
          <w:rFonts w:ascii="PT Astra Serif" w:eastAsia="Times New Roman" w:hAnsi="PT Astra Serif" w:cs="Times New Roman"/>
          <w:sz w:val="26"/>
          <w:szCs w:val="26"/>
          <w:lang w:val="x-none" w:eastAsia="ru-RU"/>
        </w:rPr>
        <w:t xml:space="preserve"> </w:t>
      </w:r>
      <w:r>
        <w:rPr>
          <w:rFonts w:ascii="PT Astra Serif" w:eastAsia="Times New Roman" w:hAnsi="PT Astra Serif" w:cs="Times New Roman"/>
          <w:i/>
          <w:sz w:val="26"/>
          <w:szCs w:val="26"/>
          <w:lang w:val="x-none" w:eastAsia="ru-RU"/>
        </w:rPr>
        <w:t>«Повышение конкурентоспособности субъектов малого и среднего предпринимательства за счет повышения профессионального уровня специалистов»</w:t>
      </w:r>
      <w:r>
        <w:rPr>
          <w:rFonts w:ascii="PT Astra Serif" w:hAnsi="PT Astra Serif" w:cs="PT Astra Serif"/>
          <w:sz w:val="26"/>
          <w:szCs w:val="26"/>
        </w:rPr>
        <w:t xml:space="preserve"> </w:t>
      </w:r>
      <w:r>
        <w:rPr>
          <w:rFonts w:ascii="PT Astra Serif" w:eastAsia="Times New Roman" w:hAnsi="PT Astra Serif" w:cs="Times New Roman"/>
          <w:sz w:val="26"/>
          <w:szCs w:val="26"/>
          <w:lang w:val="x-none" w:eastAsia="ru-RU"/>
        </w:rPr>
        <w:t xml:space="preserve">количество </w:t>
      </w:r>
      <w:r>
        <w:rPr>
          <w:rFonts w:ascii="PT Astra Serif" w:eastAsia="Times New Roman" w:hAnsi="PT Astra Serif" w:cs="Times New Roman"/>
          <w:sz w:val="26"/>
          <w:szCs w:val="26"/>
          <w:lang w:eastAsia="ru-RU"/>
        </w:rPr>
        <w:t>участников</w:t>
      </w:r>
      <w:r>
        <w:rPr>
          <w:rFonts w:ascii="PT Astra Serif" w:eastAsia="Times New Roman" w:hAnsi="PT Astra Serif" w:cs="Times New Roman"/>
          <w:sz w:val="26"/>
          <w:szCs w:val="26"/>
          <w:lang w:val="x-none" w:eastAsia="ru-RU"/>
        </w:rPr>
        <w:t xml:space="preserve">, включая работников субъектов </w:t>
      </w:r>
      <w:r>
        <w:rPr>
          <w:rFonts w:ascii="PT Astra Serif" w:eastAsia="Times New Roman" w:hAnsi="PT Astra Serif" w:cs="Times New Roman"/>
          <w:sz w:val="26"/>
          <w:szCs w:val="26"/>
          <w:lang w:eastAsia="ru-RU"/>
        </w:rPr>
        <w:t>МСП</w:t>
      </w:r>
      <w:r>
        <w:rPr>
          <w:rFonts w:ascii="PT Astra Serif" w:eastAsia="Times New Roman" w:hAnsi="PT Astra Serif" w:cs="Times New Roman"/>
          <w:sz w:val="26"/>
          <w:szCs w:val="26"/>
          <w:lang w:val="x-none" w:eastAsia="ru-RU"/>
        </w:rPr>
        <w:t>, принявших участие в мероприятиях</w:t>
      </w:r>
      <w:r>
        <w:rPr>
          <w:rFonts w:ascii="PT Astra Serif" w:eastAsia="Times New Roman" w:hAnsi="PT Astra Serif" w:cs="Times New Roman"/>
          <w:sz w:val="26"/>
          <w:szCs w:val="26"/>
          <w:lang w:eastAsia="ru-RU"/>
        </w:rPr>
        <w:t xml:space="preserve"> составило 1 634 человека при плановом значении 367 человек.</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Перевыполнение плана обусловлено повышенной востребованностью индивидуальной программы обучения составления бизнес-планов, в рамках которой физические лица, самозанятые граждане, субъекты МСП Томской области составляют бизнес-планы для получения социального контракта, а также для получения других </w:t>
      </w:r>
      <w:r w:rsidRPr="007556C9">
        <w:rPr>
          <w:rFonts w:ascii="PT Astra Serif" w:eastAsia="Times New Roman" w:hAnsi="PT Astra Serif" w:cs="Times New Roman"/>
          <w:sz w:val="26"/>
          <w:szCs w:val="26"/>
          <w:lang w:eastAsia="ru-RU"/>
        </w:rPr>
        <w:t>финансовых мер поддержки.</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Для субъектов МСП организовано 4 стажировки в Республику Хакасия, Новосибирскую область, Алтайский край, Красноярский край.</w:t>
      </w:r>
    </w:p>
    <w:p w:rsidR="00FD7FEA" w:rsidRPr="007556C9" w:rsidRDefault="00FD7FEA" w:rsidP="00FD7FEA">
      <w:pPr>
        <w:tabs>
          <w:tab w:val="left" w:pos="0"/>
          <w:tab w:val="left" w:pos="993"/>
        </w:tabs>
        <w:autoSpaceDE w:val="0"/>
        <w:autoSpaceDN w:val="0"/>
        <w:adjustRightInd w:val="0"/>
        <w:spacing w:after="0" w:line="240" w:lineRule="auto"/>
        <w:ind w:firstLine="709"/>
        <w:jc w:val="both"/>
        <w:rPr>
          <w:rFonts w:ascii="PT Astra Serif" w:hAnsi="PT Astra Serif"/>
          <w:sz w:val="26"/>
          <w:szCs w:val="26"/>
          <w:lang w:eastAsia="ru-RU"/>
        </w:rPr>
      </w:pPr>
      <w:r w:rsidRPr="007556C9">
        <w:rPr>
          <w:rFonts w:ascii="PT Astra Serif" w:eastAsia="Times New Roman" w:hAnsi="PT Astra Serif" w:cs="Times New Roman"/>
          <w:sz w:val="26"/>
          <w:szCs w:val="26"/>
          <w:lang w:eastAsia="ru-RU"/>
        </w:rPr>
        <w:t xml:space="preserve">В рамках </w:t>
      </w:r>
      <w:r w:rsidRPr="007556C9">
        <w:rPr>
          <w:rFonts w:ascii="PT Astra Serif" w:eastAsia="Times New Roman" w:hAnsi="PT Astra Serif" w:cs="Times New Roman"/>
          <w:i/>
          <w:sz w:val="26"/>
          <w:szCs w:val="26"/>
          <w:lang w:eastAsia="ru-RU"/>
        </w:rPr>
        <w:t>основного мероприятия</w:t>
      </w:r>
      <w:r w:rsidRPr="007556C9">
        <w:rPr>
          <w:rFonts w:ascii="PT Astra Serif" w:eastAsia="Times New Roman" w:hAnsi="PT Astra Serif" w:cs="Times New Roman"/>
          <w:sz w:val="26"/>
          <w:szCs w:val="26"/>
          <w:lang w:eastAsia="ru-RU"/>
        </w:rPr>
        <w:t xml:space="preserve"> </w:t>
      </w:r>
      <w:r w:rsidRPr="007556C9">
        <w:rPr>
          <w:rFonts w:ascii="PT Astra Serif" w:eastAsia="Times New Roman" w:hAnsi="PT Astra Serif" w:cs="Times New Roman"/>
          <w:i/>
          <w:sz w:val="26"/>
          <w:szCs w:val="26"/>
          <w:lang w:eastAsia="ru-RU"/>
        </w:rPr>
        <w:t>«</w:t>
      </w:r>
      <w:r w:rsidRPr="007556C9">
        <w:rPr>
          <w:rFonts w:ascii="PT Astra Serif" w:hAnsi="PT Astra Serif" w:cs="PT Astra Serif"/>
          <w:i/>
          <w:sz w:val="26"/>
          <w:szCs w:val="26"/>
        </w:rPr>
        <w:t xml:space="preserve">Создание и развитие эффективной инфраструктуры поддержки субъектов малого и среднего предпринимательства» </w:t>
      </w:r>
      <w:r w:rsidRPr="007556C9">
        <w:rPr>
          <w:rFonts w:ascii="PT Astra Serif" w:eastAsia="Times New Roman" w:hAnsi="PT Astra Serif" w:cs="Times New Roman"/>
          <w:sz w:val="26"/>
          <w:szCs w:val="26"/>
          <w:lang w:eastAsia="ru-RU"/>
        </w:rPr>
        <w:t>проведена работа по информированию населения о мерах поддержки предпринимательства, в результате чего, количество субъектов МСП, являющихся потребителями услуг организаций инфраструктуры поддержки, перевыполнен и составил 6 273 единицы</w:t>
      </w:r>
      <w:r w:rsidRPr="007556C9">
        <w:rPr>
          <w:rFonts w:ascii="PT Astra Serif" w:hAnsi="PT Astra Serif"/>
          <w:sz w:val="26"/>
          <w:szCs w:val="26"/>
          <w:lang w:eastAsia="ru-RU"/>
        </w:rPr>
        <w:t xml:space="preserve"> при плановом значении показателя 6 205 единиц.</w:t>
      </w:r>
    </w:p>
    <w:p w:rsidR="00FD7FEA"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В 2023 году предоставлены</w:t>
      </w:r>
      <w:r>
        <w:rPr>
          <w:rFonts w:ascii="PT Astra Serif" w:eastAsia="Times New Roman" w:hAnsi="PT Astra Serif" w:cs="Times New Roman"/>
          <w:sz w:val="26"/>
          <w:szCs w:val="26"/>
          <w:lang w:eastAsia="ru-RU"/>
        </w:rPr>
        <w:t xml:space="preserve"> субсидии на развитие и обеспечение деятельности НКО «Фонд развития бизнеса», Союзу «Торгово-промышленная палата Томской области», Центру субконтрактации, Центру инжиниринга и инноваций Томской области. В результате более 6 000 субъектов МСП воспользовались различными видами услуг организаций поддержки предпринимательства. </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НКО «Фонд развития бизнеса» оказал 1 859 субъектам МСП информационно-консультационные услуги.</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Организованы и проведены мероприятия с участием томского Центра субконтрактации:</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коллективный стенд Томской области на выставке «Сибирская строительная неделя-2023» в г. Новосибирске;</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участие представителей томских предприятий и организаций в 23 международных специализированных выставках «Оборудование, приборы и инструменты для металлообрабатывающей промышленности» – «Металлообработка-2023»;</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участие представителей предприятий Томской области в мероприятии «Биржа субконтрактов»;</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межрегиональная цифровая биржа контактов деловых кругов томского и омского бизнесов;</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серия бизнес-конференций субъектов МСП Томской области на предприятиях Ярославской области.</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Центром инжиниринга и инноваций Томской области:</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 подготовлено 10 региональных экспозиций для участия в выставочно-ярморочных мероприятиях: выставка «Связь - 2023» (г. Москва), выставка «Здравоохранение – 2023» (г. Москва), выставка «ЦИПР» (г. Нижний Новгород), международный Форум Kazan Digital Week 2023 (г. Казань), технологическая </w:t>
      </w:r>
      <w:r>
        <w:rPr>
          <w:rFonts w:ascii="PT Astra Serif" w:eastAsia="Times New Roman" w:hAnsi="PT Astra Serif" w:cs="Times New Roman"/>
          <w:sz w:val="26"/>
          <w:szCs w:val="26"/>
          <w:lang w:eastAsia="ru-RU"/>
        </w:rPr>
        <w:lastRenderedPageBreak/>
        <w:t xml:space="preserve">конференция «STARTUP VILLAGE 2023» (г. Москва), международный военно-технический форум </w:t>
      </w:r>
      <w:r w:rsidRPr="007556C9">
        <w:rPr>
          <w:rFonts w:ascii="PT Astra Serif" w:eastAsia="Times New Roman" w:hAnsi="PT Astra Serif" w:cs="Times New Roman"/>
          <w:sz w:val="26"/>
          <w:szCs w:val="26"/>
          <w:lang w:eastAsia="ru-RU"/>
        </w:rPr>
        <w:t xml:space="preserve">«АРМИЯ-2023» (г. Кубинка), международная специализированная выставка «Уголь России и Майнинг» (г. Новокузнецк), технофорум «Роль инжиниринга в достижении технологической независимости России» (г. Сочи), международный форум технологического развития «Технопром-2023» (г. Новосибирск), выставка «ИННОПРОМ» (г. Екатеринбург). В мероприятиях приняли участие 52 инновационные организации Томской области; </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организовано и проведено 8 мероприятий: открытый Российский чемпионат по робототехнике «РобоКап Россия 2023», конференция для профессиональных разработчиков, дизайнеров, менеджеров, маркетологов и предпринимателей DevPRO`23, мероприятие для организаций – участников Кластера «Smart Technologies Tomsk» в целях обучения сотрудников контролю качества выпускаемой продукции, MeeatUp (Митап) на тему «Искусственный интеллект не замена, а помощник в бизнесе», конференция «Продвижение инновационных компаний», конференции «Искусственный интеллект в управлении персоналом», «Высокотехнологическое здравоохранение», «Маркетинг 2035». Общее количество участников составило более 2000 человек.</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В 2023 году участие субъектов МСП Томской области в конкурсах, проводимых Центром инжиниринга</w:t>
      </w:r>
      <w:r w:rsidRPr="007556C9">
        <w:rPr>
          <w:rFonts w:ascii="PT Astra Serif" w:hAnsi="PT Astra Serif"/>
          <w:sz w:val="26"/>
          <w:szCs w:val="26"/>
        </w:rPr>
        <w:t xml:space="preserve"> и инноваций Томской </w:t>
      </w:r>
      <w:r w:rsidRPr="007556C9">
        <w:rPr>
          <w:rFonts w:ascii="PT Astra Serif" w:eastAsia="Times New Roman" w:hAnsi="PT Astra Serif" w:cs="Times New Roman"/>
          <w:sz w:val="26"/>
          <w:szCs w:val="26"/>
          <w:lang w:eastAsia="ru-RU"/>
        </w:rPr>
        <w:t>области позволило:</w:t>
      </w:r>
    </w:p>
    <w:p w:rsidR="00FD7FEA" w:rsidRDefault="00FD7FEA" w:rsidP="00FD7FEA">
      <w:pPr>
        <w:pStyle w:val="a6"/>
        <w:widowControl w:val="0"/>
        <w:tabs>
          <w:tab w:val="left" w:pos="993"/>
        </w:tabs>
        <w:spacing w:after="0" w:line="240" w:lineRule="auto"/>
        <w:ind w:left="0" w:firstLine="709"/>
        <w:jc w:val="both"/>
        <w:rPr>
          <w:rFonts w:eastAsia="Times New Roman" w:cs="Times New Roman"/>
          <w:sz w:val="26"/>
          <w:szCs w:val="26"/>
          <w:lang w:eastAsia="ru-RU"/>
        </w:rPr>
      </w:pPr>
      <w:r w:rsidRPr="007556C9">
        <w:rPr>
          <w:rFonts w:eastAsia="Times New Roman" w:cs="Times New Roman"/>
          <w:sz w:val="26"/>
          <w:szCs w:val="26"/>
          <w:lang w:eastAsia="ru-RU"/>
        </w:rPr>
        <w:t>- разработать новое оборудование</w:t>
      </w:r>
      <w:r>
        <w:rPr>
          <w:rFonts w:eastAsia="Times New Roman" w:cs="Times New Roman"/>
          <w:sz w:val="26"/>
          <w:szCs w:val="26"/>
          <w:lang w:eastAsia="ru-RU"/>
        </w:rPr>
        <w:t>, медицинские изделия и инструменты; разработать новые методики диагностирования состояния здоровья человека; провести технико-экономическое обоснование для создания новых производств; провести различные испытания и исследования, необходимые для последующего продвижения новой продукции;</w:t>
      </w:r>
    </w:p>
    <w:p w:rsidR="00FD7FEA" w:rsidRDefault="00FD7FEA" w:rsidP="00FD7FEA">
      <w:pPr>
        <w:pStyle w:val="a6"/>
        <w:widowControl w:val="0"/>
        <w:tabs>
          <w:tab w:val="left" w:pos="993"/>
        </w:tabs>
        <w:spacing w:after="0" w:line="240" w:lineRule="auto"/>
        <w:ind w:left="0" w:firstLine="709"/>
        <w:jc w:val="both"/>
        <w:rPr>
          <w:rFonts w:eastAsia="Times New Roman" w:cs="Times New Roman"/>
          <w:sz w:val="26"/>
          <w:szCs w:val="26"/>
          <w:lang w:eastAsia="ru-RU"/>
        </w:rPr>
      </w:pPr>
      <w:r>
        <w:rPr>
          <w:rFonts w:eastAsia="Times New Roman" w:cs="Times New Roman"/>
          <w:sz w:val="26"/>
          <w:szCs w:val="26"/>
          <w:lang w:eastAsia="ru-RU"/>
        </w:rPr>
        <w:t>- подготовить заявки для регистрации товарных знаков и патентов, провести патентные исследования; разработать бизнес-планы, бренд-буки и провести маркетинговые исследования; провести сертификацию новой продукции; разработать программы модернизации и развития производств;</w:t>
      </w:r>
    </w:p>
    <w:p w:rsidR="00FD7FEA" w:rsidRDefault="00FD7FEA" w:rsidP="00FD7FEA">
      <w:pPr>
        <w:widowControl w:val="0"/>
        <w:tabs>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привлечь инвестиции для реализации 2-х программ модернизации (подготовленных ранее) в размере 16,67 млн. рублей.</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В рамках </w:t>
      </w:r>
      <w:r>
        <w:rPr>
          <w:rFonts w:ascii="PT Astra Serif" w:eastAsia="Times New Roman" w:hAnsi="PT Astra Serif" w:cs="Times New Roman"/>
          <w:i/>
          <w:sz w:val="26"/>
          <w:szCs w:val="26"/>
          <w:lang w:eastAsia="ru-RU"/>
        </w:rPr>
        <w:t xml:space="preserve">основного мероприятия «Поддержка муниципальных программ, направленных на </w:t>
      </w:r>
      <w:r w:rsidRPr="007556C9">
        <w:rPr>
          <w:rFonts w:ascii="PT Astra Serif" w:eastAsia="Times New Roman" w:hAnsi="PT Astra Serif" w:cs="Times New Roman"/>
          <w:i/>
          <w:sz w:val="26"/>
          <w:szCs w:val="26"/>
          <w:lang w:eastAsia="ru-RU"/>
        </w:rPr>
        <w:t>развитие малого и среднего предпринимательства»</w:t>
      </w:r>
      <w:r w:rsidRPr="007556C9">
        <w:rPr>
          <w:rFonts w:ascii="PT Astra Serif" w:eastAsia="Times New Roman" w:hAnsi="PT Astra Serif" w:cs="Times New Roman"/>
          <w:sz w:val="26"/>
          <w:szCs w:val="26"/>
          <w:lang w:eastAsia="ru-RU"/>
        </w:rPr>
        <w:t xml:space="preserve"> из областного бюджета направлено 44,954 млн. рублей на реализацию 20 муниципальных программ для поддержки субъектов МСП (план – 16 единиц). Перевыполнение показателя связано с ростом потребности субъектов МСП из муниципальных образований в различных видах поддержки (финансовая, имущественная, информационно-консультационная и др.).</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В отчетном году муниципальными образованиями оказана поддержка:</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xml:space="preserve">- 42 субъектам МСП на «стартующий» бизнес; </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- 1 629 субъектам МСП (план – 1 159 единиц) развитие предпринимательства;</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- 57 субъектам МСП - резидентам муниципальных бизнес-инкубаторов (план – 45 единиц) на льготную аренду нежилых помещений.</w:t>
      </w:r>
    </w:p>
    <w:p w:rsidR="00FD7FEA" w:rsidRPr="007556C9"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xml:space="preserve">Муниципальными микрофинансовыми </w:t>
      </w:r>
      <w:proofErr w:type="gramStart"/>
      <w:r w:rsidRPr="007556C9">
        <w:rPr>
          <w:rFonts w:ascii="PT Astra Serif" w:eastAsia="Times New Roman" w:hAnsi="PT Astra Serif" w:cs="Times New Roman"/>
          <w:sz w:val="26"/>
          <w:szCs w:val="26"/>
          <w:lang w:eastAsia="ru-RU"/>
        </w:rPr>
        <w:t>организациями</w:t>
      </w:r>
      <w:proofErr w:type="gramEnd"/>
      <w:r w:rsidRPr="007556C9">
        <w:rPr>
          <w:rFonts w:ascii="PT Astra Serif" w:eastAsia="Times New Roman" w:hAnsi="PT Astra Serif" w:cs="Times New Roman"/>
          <w:sz w:val="26"/>
          <w:szCs w:val="26"/>
          <w:lang w:eastAsia="ru-RU"/>
        </w:rPr>
        <w:t xml:space="preserve"> ЗАТО Северск и г. Стрежевой предоставлены 8 субъектам МСП (план – 7 единиц) льготные микрозаймы в объеме 7,78 млн. рублей.</w:t>
      </w:r>
    </w:p>
    <w:p w:rsidR="00FD7FEA" w:rsidRDefault="00FD7FEA" w:rsidP="00FD7FEA">
      <w:pPr>
        <w:autoSpaceDE w:val="0"/>
        <w:autoSpaceDN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xml:space="preserve">В рамках мероприятий муниципальных программ развития субъектов МСП предоставлена компенсация на затраты по выработке электроэнергии дизельными </w:t>
      </w:r>
      <w:r w:rsidRPr="007556C9">
        <w:rPr>
          <w:rFonts w:ascii="PT Astra Serif" w:eastAsia="Times New Roman" w:hAnsi="PT Astra Serif" w:cs="Times New Roman"/>
          <w:sz w:val="26"/>
          <w:szCs w:val="26"/>
          <w:lang w:eastAsia="ru-RU"/>
        </w:rPr>
        <w:lastRenderedPageBreak/>
        <w:t>электростанциями в северных районах, компенсация затрат на регистрацию товарных знаков, компенсация затрат на</w:t>
      </w:r>
      <w:r>
        <w:rPr>
          <w:rFonts w:ascii="PT Astra Serif" w:eastAsia="Times New Roman" w:hAnsi="PT Astra Serif" w:cs="Times New Roman"/>
          <w:sz w:val="26"/>
          <w:szCs w:val="26"/>
          <w:lang w:eastAsia="ru-RU"/>
        </w:rPr>
        <w:t xml:space="preserve"> продвижение товаров (услуг) на внешний рынок и т.п.</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В рамках </w:t>
      </w:r>
      <w:r w:rsidRPr="007556C9">
        <w:rPr>
          <w:rFonts w:ascii="PT Astra Serif" w:eastAsia="Times New Roman" w:hAnsi="PT Astra Serif" w:cs="Times New Roman"/>
          <w:i/>
          <w:sz w:val="26"/>
          <w:szCs w:val="26"/>
          <w:lang w:eastAsia="ru-RU"/>
        </w:rPr>
        <w:t xml:space="preserve">основного мероприятия «Развитие внутреннего и въездного туризма в Томской области» </w:t>
      </w:r>
      <w:r w:rsidRPr="007556C9">
        <w:rPr>
          <w:rFonts w:ascii="PT Astra Serif" w:eastAsia="Times New Roman" w:hAnsi="PT Astra Serif" w:cs="Times New Roman"/>
          <w:sz w:val="26"/>
          <w:szCs w:val="26"/>
          <w:lang w:eastAsia="ru-RU"/>
        </w:rPr>
        <w:t>в отчетном году за счёт федеральных и региональных мер поддержки мероприятий по продвижению регионального туризма превышены плановые показатели:</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236,0 тыс. человек размещены в коллективных средствах размещения в Томской области в 2023 году (план – 170,1 тыс. человек);</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обеспечен высокий темп роста объема оказанных услуг в сфере</w:t>
      </w:r>
      <w:r>
        <w:rPr>
          <w:rFonts w:ascii="PT Astra Serif" w:eastAsia="Times New Roman" w:hAnsi="PT Astra Serif" w:cs="Times New Roman"/>
          <w:sz w:val="26"/>
          <w:szCs w:val="26"/>
          <w:lang w:eastAsia="ru-RU"/>
        </w:rPr>
        <w:t xml:space="preserve"> туризма, в действующих ценах к 2020 году, составил 166,41 % (план  – 137,5%).</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По итогам отчетного года в муниципальных образованиях реализованы 12 инфраструктурных проектов в целях улучшения оказания туристических услуг (план – 5 единиц), в том числе: </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 по установке </w:t>
      </w:r>
      <w:r w:rsidRPr="007556C9">
        <w:rPr>
          <w:rFonts w:ascii="PT Astra Serif" w:eastAsia="Times New Roman" w:hAnsi="PT Astra Serif" w:cs="Times New Roman"/>
          <w:sz w:val="26"/>
          <w:szCs w:val="26"/>
          <w:lang w:eastAsia="ru-RU"/>
        </w:rPr>
        <w:t xml:space="preserve">благоустроенных стационарных модулей «уборных» (в Асиновском (с. Ягодное), Зырянском и Кожевниковском районах); </w:t>
      </w:r>
    </w:p>
    <w:p w:rsidR="00FD7FEA" w:rsidRPr="007556C9"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по благоустройству мест притяжения туристов (на территориях музейной площадки «Малая земля» в Верхнекетском районе, музея под открытым небом «Чумэл Чвэч» в с. Парабель, Парка «Сердце нефтеграда» в г. Стрежевой, а также мест пляжного отдыха жителей и гостей на Семейкином озере в г. Томск, на Втором Светлом озере вблизи г. Колпашево, на озере Токовом в с. Молчаново);</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7556C9">
        <w:rPr>
          <w:rFonts w:ascii="PT Astra Serif" w:eastAsia="Times New Roman" w:hAnsi="PT Astra Serif" w:cs="Times New Roman"/>
          <w:sz w:val="26"/>
          <w:szCs w:val="26"/>
          <w:lang w:eastAsia="ru-RU"/>
        </w:rPr>
        <w:t>- по приобретению туристического оборудования для обслуживания</w:t>
      </w:r>
      <w:r>
        <w:rPr>
          <w:rFonts w:ascii="PT Astra Serif" w:eastAsia="Times New Roman" w:hAnsi="PT Astra Serif" w:cs="Times New Roman"/>
          <w:sz w:val="26"/>
          <w:szCs w:val="26"/>
          <w:lang w:eastAsia="ru-RU"/>
        </w:rPr>
        <w:t xml:space="preserve"> туристов, в том числе для организации размещения туристов </w:t>
      </w:r>
      <w:proofErr w:type="gramStart"/>
      <w:r>
        <w:rPr>
          <w:rFonts w:ascii="PT Astra Serif" w:eastAsia="Times New Roman" w:hAnsi="PT Astra Serif" w:cs="Times New Roman"/>
          <w:sz w:val="26"/>
          <w:szCs w:val="26"/>
          <w:lang w:eastAsia="ru-RU"/>
        </w:rPr>
        <w:t>в</w:t>
      </w:r>
      <w:proofErr w:type="gramEnd"/>
      <w:r>
        <w:rPr>
          <w:rFonts w:ascii="PT Astra Serif" w:eastAsia="Times New Roman" w:hAnsi="PT Astra Serif" w:cs="Times New Roman"/>
          <w:sz w:val="26"/>
          <w:szCs w:val="26"/>
          <w:lang w:eastAsia="ru-RU"/>
        </w:rPr>
        <w:t xml:space="preserve"> с. Бакчар </w:t>
      </w:r>
      <w:proofErr w:type="gramStart"/>
      <w:r>
        <w:rPr>
          <w:rFonts w:ascii="PT Astra Serif" w:eastAsia="Times New Roman" w:hAnsi="PT Astra Serif" w:cs="Times New Roman"/>
          <w:sz w:val="26"/>
          <w:szCs w:val="26"/>
          <w:lang w:eastAsia="ru-RU"/>
        </w:rPr>
        <w:t>при</w:t>
      </w:r>
      <w:proofErr w:type="gramEnd"/>
      <w:r>
        <w:rPr>
          <w:rFonts w:ascii="PT Astra Serif" w:eastAsia="Times New Roman" w:hAnsi="PT Astra Serif" w:cs="Times New Roman"/>
          <w:sz w:val="26"/>
          <w:szCs w:val="26"/>
          <w:lang w:eastAsia="ru-RU"/>
        </w:rPr>
        <w:t xml:space="preserve"> организации туров на Васюганское болото, для расширения спектра услуг по обслуживанию туристов в этно-культурном комплексе «Янов хутор» и др.</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Показатель </w:t>
      </w:r>
      <w:r w:rsidRPr="007556C9">
        <w:rPr>
          <w:rFonts w:ascii="PT Astra Serif" w:eastAsia="Times New Roman" w:hAnsi="PT Astra Serif" w:cs="Times New Roman"/>
          <w:sz w:val="26"/>
          <w:szCs w:val="26"/>
          <w:lang w:eastAsia="ru-RU"/>
        </w:rPr>
        <w:t>перевыполнен за счет увеличения объема средств на данную меру поддержки более чем в 2,5 раза, а также заявок на участие в конкурсе стоимостью проектов менее 1 млн. рублей.</w:t>
      </w:r>
      <w:r>
        <w:rPr>
          <w:rFonts w:ascii="PT Astra Serif" w:eastAsia="Times New Roman" w:hAnsi="PT Astra Serif" w:cs="Times New Roman"/>
          <w:sz w:val="26"/>
          <w:szCs w:val="26"/>
          <w:lang w:eastAsia="ru-RU"/>
        </w:rPr>
        <w:t xml:space="preserve"> </w:t>
      </w:r>
    </w:p>
    <w:p w:rsidR="00FD7FEA" w:rsidRPr="003C1D31"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Поддержаны 15 проектов 11 муниципальных образований Томской области по </w:t>
      </w:r>
      <w:r w:rsidRPr="003C1D31">
        <w:rPr>
          <w:rFonts w:ascii="PT Astra Serif" w:eastAsia="Times New Roman" w:hAnsi="PT Astra Serif" w:cs="Times New Roman"/>
          <w:sz w:val="26"/>
          <w:szCs w:val="26"/>
          <w:lang w:eastAsia="ru-RU"/>
        </w:rPr>
        <w:t>организации экскурсионных поездок школьников, пенсионеров и лиц с ограниченными возможностями здоровья по территории Томской области в рамках социального туризма. В 2023 году проектами охвачены 2 283 участников (в том числе 2 201 школьник, 72 человека из числа лиц старшего поколения и ОВЗ и 10. сопровождающих).</w:t>
      </w:r>
    </w:p>
    <w:p w:rsidR="00FD7FEA" w:rsidRPr="003C1D31"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3C1D31">
        <w:rPr>
          <w:rFonts w:ascii="PT Astra Serif" w:eastAsia="Times New Roman" w:hAnsi="PT Astra Serif" w:cs="Times New Roman"/>
          <w:sz w:val="26"/>
          <w:szCs w:val="26"/>
          <w:lang w:eastAsia="ru-RU"/>
        </w:rPr>
        <w:t xml:space="preserve">Для дополнительного привлечения туристов (420 человек) 2 региональным туроператорам компенсированы затраты на транспортные расходы по организованным турам, в том числе по Национальному туристическому маршруту «Томск – сердце Сибири!». </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3C1D31">
        <w:rPr>
          <w:rFonts w:ascii="PT Astra Serif" w:eastAsia="Times New Roman" w:hAnsi="PT Astra Serif" w:cs="Times New Roman"/>
          <w:sz w:val="26"/>
          <w:szCs w:val="26"/>
          <w:lang w:eastAsia="ru-RU"/>
        </w:rPr>
        <w:t>Возмещена часть затрат предпринимателям на реализацию 2 предпринимательских проектов: «Лесная сказка» (г. Томск) по приобретению модульных некапитальных средств размещения</w:t>
      </w:r>
      <w:r>
        <w:rPr>
          <w:rFonts w:ascii="PT Astra Serif" w:eastAsia="Times New Roman" w:hAnsi="PT Astra Serif" w:cs="Times New Roman"/>
          <w:sz w:val="26"/>
          <w:szCs w:val="26"/>
          <w:lang w:eastAsia="ru-RU"/>
        </w:rPr>
        <w:t xml:space="preserve"> и «Уличные купели с подогревом для организации отдуха» (Томский район).</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В целях повышения компетенций участников туристического рынка регионом организованы образовательные мероприятия с привлечением федеральных и региональных экспертов.</w:t>
      </w:r>
    </w:p>
    <w:p w:rsidR="00FD7FEA" w:rsidRPr="003C1D31"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Проведена образовательная сессия в составе семинара по теме: Создание пешеходных троп в природной среде на территории муниципальных образований, а также круглого стола </w:t>
      </w:r>
      <w:r w:rsidRPr="003C1D31">
        <w:rPr>
          <w:rFonts w:ascii="PT Astra Serif" w:eastAsia="Times New Roman" w:hAnsi="PT Astra Serif" w:cs="Times New Roman"/>
          <w:sz w:val="26"/>
          <w:szCs w:val="26"/>
          <w:lang w:eastAsia="ru-RU"/>
        </w:rPr>
        <w:t xml:space="preserve">на тему: «Практические подходы к созданию и реализации </w:t>
      </w:r>
      <w:r w:rsidRPr="003C1D31">
        <w:rPr>
          <w:rFonts w:ascii="PT Astra Serif" w:eastAsia="Times New Roman" w:hAnsi="PT Astra Serif" w:cs="Times New Roman"/>
          <w:sz w:val="26"/>
          <w:szCs w:val="26"/>
          <w:lang w:eastAsia="ru-RU"/>
        </w:rPr>
        <w:lastRenderedPageBreak/>
        <w:t>Национальных туристических маршрутов». В 2-х мероприятиях сессии приняли участие более 90 человек, при плане – 50 человек.</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3C1D31">
        <w:rPr>
          <w:rFonts w:ascii="PT Astra Serif" w:eastAsia="Times New Roman" w:hAnsi="PT Astra Serif" w:cs="Times New Roman"/>
          <w:sz w:val="26"/>
          <w:szCs w:val="26"/>
          <w:lang w:eastAsia="ru-RU"/>
        </w:rPr>
        <w:t>Проведено 5 заседаний аттестационной комиссии</w:t>
      </w:r>
      <w:r>
        <w:rPr>
          <w:rFonts w:ascii="PT Astra Serif" w:eastAsia="Times New Roman" w:hAnsi="PT Astra Serif" w:cs="Times New Roman"/>
          <w:sz w:val="26"/>
          <w:szCs w:val="26"/>
          <w:lang w:eastAsia="ru-RU"/>
        </w:rPr>
        <w:t xml:space="preserve"> и обеспечено прохождение оценочных процедур в рамках оказания государственной услуги по аттестации экскурсоводов и гидов-переводчиков. По результатам квалификационных экзаменов аттестовано 26 экскурсоводов и гидов-переводчиков, не прошел аттестацию 1 заявитель. </w:t>
      </w:r>
    </w:p>
    <w:p w:rsidR="00FD7FEA" w:rsidRDefault="00FD7FEA" w:rsidP="00FD7FEA">
      <w:pPr>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Для организации поддержки потенциальных инвесторов в рамках проекта Росреестра «Земля для туризма» выявлены 7 земельных участков в Томском районе и размещена информация о них на публичной кадастровой карте.</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В целях продвижения туристического потенциала региона организованы:</w:t>
      </w:r>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proofErr w:type="gramStart"/>
      <w:r>
        <w:rPr>
          <w:rFonts w:ascii="PT Astra Serif" w:eastAsia="Times New Roman" w:hAnsi="PT Astra Serif"/>
          <w:sz w:val="26"/>
          <w:szCs w:val="26"/>
        </w:rPr>
        <w:t>- участие в туристических выставках («MITT-2023», «Путешествуй!</w:t>
      </w:r>
      <w:proofErr w:type="gramEnd"/>
      <w:r>
        <w:rPr>
          <w:rFonts w:ascii="PT Astra Serif" w:eastAsia="Times New Roman" w:hAnsi="PT Astra Serif"/>
          <w:sz w:val="26"/>
          <w:szCs w:val="26"/>
        </w:rPr>
        <w:t xml:space="preserve">- </w:t>
      </w:r>
      <w:proofErr w:type="gramStart"/>
      <w:r>
        <w:rPr>
          <w:rFonts w:ascii="PT Astra Serif" w:eastAsia="Times New Roman" w:hAnsi="PT Astra Serif"/>
          <w:sz w:val="26"/>
          <w:szCs w:val="26"/>
        </w:rPr>
        <w:t>Лето», «ОТДЫХ/LEISURE-2023»), форумах (Сибирский туристический форум в г. Новосибирск), воркшопах (для жителей Кузбасса, туроператоров, СМИ и блогеров г. Кемерово);</w:t>
      </w:r>
      <w:proofErr w:type="gramEnd"/>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- 2 информационных тура для туроператоров и СМИ из других регионов по национальному туристскому маршруту и по объектам промышленного туризма Томской области для туроператоров нашего региона;</w:t>
      </w:r>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 съёмки для 3 телепередач о туризме в Томской области: «А дома лучше» и «Один день в городе» телеканала «Моя планета», «Вместе по России. Томская область» телеканала Совета Федерации «Вместе-РФ»;</w:t>
      </w:r>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 xml:space="preserve">- размещение информации о туристических локациях на федеральном портале (RUSSPASS), сервисе </w:t>
      </w:r>
      <w:r>
        <w:rPr>
          <w:rFonts w:ascii="PT Astra Serif" w:eastAsia="Times New Roman" w:hAnsi="PT Astra Serif"/>
          <w:sz w:val="26"/>
          <w:szCs w:val="26"/>
          <w:lang w:val="en-US"/>
        </w:rPr>
        <w:t>Wildberries</w:t>
      </w:r>
      <w:r>
        <w:rPr>
          <w:rFonts w:ascii="PT Astra Serif" w:eastAsia="Times New Roman" w:hAnsi="PT Astra Serif"/>
          <w:sz w:val="26"/>
          <w:szCs w:val="26"/>
        </w:rPr>
        <w:t xml:space="preserve"> </w:t>
      </w:r>
      <w:r>
        <w:rPr>
          <w:rFonts w:ascii="PT Astra Serif" w:eastAsia="Times New Roman" w:hAnsi="PT Astra Serif"/>
          <w:sz w:val="26"/>
          <w:szCs w:val="26"/>
          <w:lang w:val="en-US"/>
        </w:rPr>
        <w:t>Travel</w:t>
      </w:r>
      <w:r>
        <w:rPr>
          <w:rFonts w:ascii="PT Astra Serif" w:eastAsia="Times New Roman" w:hAnsi="PT Astra Serif"/>
          <w:sz w:val="26"/>
          <w:szCs w:val="26"/>
        </w:rPr>
        <w:t xml:space="preserve"> и МТС </w:t>
      </w:r>
      <w:r>
        <w:rPr>
          <w:rFonts w:ascii="PT Astra Serif" w:eastAsia="Times New Roman" w:hAnsi="PT Astra Serif"/>
          <w:sz w:val="26"/>
          <w:szCs w:val="26"/>
          <w:lang w:val="en-US"/>
        </w:rPr>
        <w:t>Travel</w:t>
      </w:r>
      <w:r>
        <w:rPr>
          <w:rFonts w:ascii="PT Astra Serif" w:eastAsia="Times New Roman" w:hAnsi="PT Astra Serif"/>
          <w:sz w:val="26"/>
          <w:szCs w:val="26"/>
        </w:rPr>
        <w:t>;</w:t>
      </w:r>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 размещение видеороликов о туризме в Томской области на территории аэровокзальных комплексов (г. Новосибирск, г. Томск, г. Тюмень, г. Волгоград, г. Минеральные Воды), в информационно-развлекательной системе «Попутчик» для пассажиров РЖД;</w:t>
      </w:r>
    </w:p>
    <w:p w:rsidR="00FD7FEA" w:rsidRPr="003C1D31" w:rsidRDefault="00FD7FEA" w:rsidP="00FD7FEA">
      <w:pPr>
        <w:tabs>
          <w:tab w:val="left" w:pos="4962"/>
        </w:tabs>
        <w:spacing w:after="0" w:line="240" w:lineRule="auto"/>
        <w:ind w:firstLine="709"/>
        <w:jc w:val="both"/>
        <w:rPr>
          <w:rFonts w:ascii="PT Astra Serif" w:eastAsia="Times New Roman" w:hAnsi="PT Astra Serif"/>
          <w:sz w:val="26"/>
          <w:szCs w:val="26"/>
        </w:rPr>
      </w:pPr>
      <w:r>
        <w:rPr>
          <w:rFonts w:ascii="PT Astra Serif" w:eastAsia="Times New Roman" w:hAnsi="PT Astra Serif"/>
          <w:sz w:val="26"/>
          <w:szCs w:val="26"/>
        </w:rPr>
        <w:t>- размещение на радиостанциях аудиороликов о туристическом потенциале Томской области (г. </w:t>
      </w:r>
      <w:r w:rsidRPr="003C1D31">
        <w:rPr>
          <w:rFonts w:ascii="PT Astra Serif" w:eastAsia="Times New Roman" w:hAnsi="PT Astra Serif"/>
          <w:sz w:val="26"/>
          <w:szCs w:val="26"/>
        </w:rPr>
        <w:t>Новосибирск, г. Кемерово, г. Красноярск);</w:t>
      </w:r>
    </w:p>
    <w:p w:rsidR="00FD7FEA" w:rsidRPr="003C1D31" w:rsidRDefault="00FD7FEA" w:rsidP="00FD7FEA">
      <w:pPr>
        <w:tabs>
          <w:tab w:val="left" w:pos="4962"/>
        </w:tabs>
        <w:spacing w:after="0" w:line="240" w:lineRule="auto"/>
        <w:ind w:firstLine="709"/>
        <w:jc w:val="both"/>
        <w:rPr>
          <w:rFonts w:ascii="PT Astra Serif" w:eastAsia="Times New Roman" w:hAnsi="PT Astra Serif"/>
          <w:sz w:val="26"/>
          <w:szCs w:val="26"/>
        </w:rPr>
      </w:pPr>
      <w:r w:rsidRPr="003C1D31">
        <w:rPr>
          <w:rFonts w:ascii="PT Astra Serif" w:eastAsia="Times New Roman" w:hAnsi="PT Astra Serif"/>
          <w:sz w:val="26"/>
          <w:szCs w:val="26"/>
        </w:rPr>
        <w:t>- публикации в журнале «The МОСТ» - 3 единицы, на новостном портале «VSЁ42» - 3 единицы, на новостном портале «NGS.RU» - 2 единицы, в сообществе «ВКонтакте» АТОР - 10 единиц, в телеграм-канале АТОР - 10 единиц;</w:t>
      </w:r>
    </w:p>
    <w:p w:rsidR="00FD7FEA" w:rsidRDefault="00FD7FEA" w:rsidP="00FD7FEA">
      <w:pPr>
        <w:tabs>
          <w:tab w:val="left" w:pos="4962"/>
        </w:tabs>
        <w:spacing w:after="0" w:line="240" w:lineRule="auto"/>
        <w:ind w:firstLine="709"/>
        <w:jc w:val="both"/>
        <w:rPr>
          <w:rFonts w:ascii="PT Astra Serif" w:eastAsia="Times New Roman" w:hAnsi="PT Astra Serif"/>
          <w:sz w:val="26"/>
          <w:szCs w:val="26"/>
        </w:rPr>
      </w:pPr>
      <w:r w:rsidRPr="003C1D31">
        <w:rPr>
          <w:rFonts w:ascii="PT Astra Serif" w:eastAsia="Times New Roman" w:hAnsi="PT Astra Serif"/>
          <w:sz w:val="26"/>
          <w:szCs w:val="26"/>
        </w:rPr>
        <w:t>- публикации в социальных сетях и туристическом портале «Гид-путеводитель по г. Томску и Томской области» (далее – Гид путеводитель) - 264 единицы, в социальной сети «ВКонтакте» - 266 единиц, в социальной сети «Одноклассники» - 221 единица, в Телеграм-канале - 245 единиц. Посещаемость Гида путеводителя в 2023 году выросла более чем в 2 раза и составила</w:t>
      </w:r>
      <w:r>
        <w:rPr>
          <w:rFonts w:ascii="PT Astra Serif" w:eastAsia="Times New Roman" w:hAnsi="PT Astra Serif"/>
          <w:sz w:val="26"/>
          <w:szCs w:val="26"/>
        </w:rPr>
        <w:t xml:space="preserve"> 100 206 посетителей (2022 год – 49 376 посетителей).</w:t>
      </w:r>
    </w:p>
    <w:p w:rsidR="00FD7FEA" w:rsidRDefault="00FD7FEA" w:rsidP="00FD7FEA">
      <w:pPr>
        <w:keepNext/>
        <w:tabs>
          <w:tab w:val="left" w:pos="0"/>
          <w:tab w:val="left" w:pos="993"/>
        </w:tabs>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b/>
          <w:i/>
          <w:sz w:val="26"/>
          <w:szCs w:val="26"/>
          <w:lang w:eastAsia="ru-RU"/>
        </w:rPr>
        <w:br w:type="page"/>
      </w:r>
    </w:p>
    <w:p w:rsidR="00FD7FEA" w:rsidRDefault="00FD7FEA" w:rsidP="00FD7FEA">
      <w:pPr>
        <w:keepNext/>
        <w:tabs>
          <w:tab w:val="left" w:pos="0"/>
          <w:tab w:val="left" w:pos="993"/>
        </w:tabs>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b/>
          <w:i/>
          <w:sz w:val="26"/>
          <w:szCs w:val="26"/>
          <w:lang w:eastAsia="ru-RU"/>
        </w:rPr>
        <w:lastRenderedPageBreak/>
        <w:t xml:space="preserve">Подпрограмма 2  </w:t>
      </w:r>
      <w:r>
        <w:rPr>
          <w:rFonts w:ascii="PT Astra Serif" w:eastAsia="Times New Roman" w:hAnsi="PT Astra Serif" w:cs="Times New Roman"/>
          <w:b/>
          <w:sz w:val="26"/>
          <w:szCs w:val="26"/>
          <w:lang w:eastAsia="ru-RU"/>
        </w:rPr>
        <w:t>«</w:t>
      </w:r>
      <w:r>
        <w:rPr>
          <w:rFonts w:ascii="PT Astra Serif" w:eastAsia="Times New Roman" w:hAnsi="PT Astra Serif" w:cs="Times New Roman"/>
          <w:b/>
          <w:i/>
          <w:sz w:val="26"/>
          <w:szCs w:val="26"/>
          <w:lang w:eastAsia="ru-RU"/>
        </w:rPr>
        <w:t>Развитие промышленности в Томской области»</w:t>
      </w:r>
    </w:p>
    <w:p w:rsidR="00FD7FEA" w:rsidRDefault="00FD7FEA" w:rsidP="00FD7FEA">
      <w:pPr>
        <w:pStyle w:val="a7"/>
        <w:ind w:left="710" w:firstLine="0"/>
        <w:jc w:val="center"/>
        <w:rPr>
          <w:rFonts w:ascii="PT Astra Serif" w:hAnsi="PT Astra Serif"/>
          <w:b/>
        </w:rPr>
      </w:pPr>
      <w:r>
        <w:rPr>
          <w:rFonts w:ascii="PT Astra Serif" w:hAnsi="PT Astra Serif"/>
          <w:b/>
        </w:rPr>
        <w:t>Показатели цели Подпрограммы 2 за 2023 год</w:t>
      </w:r>
    </w:p>
    <w:p w:rsidR="00FD7FEA" w:rsidRPr="00BB529E" w:rsidRDefault="00FD7FEA" w:rsidP="00FD7FEA">
      <w:pPr>
        <w:pStyle w:val="a7"/>
        <w:ind w:left="710" w:firstLine="0"/>
        <w:jc w:val="right"/>
        <w:rPr>
          <w:rFonts w:ascii="PT Astra Serif" w:hAnsi="PT Astra Serif"/>
          <w:b/>
        </w:rPr>
      </w:pPr>
      <w:r>
        <w:rPr>
          <w:rFonts w:ascii="PT Astra Serif" w:hAnsi="PT Astra Serif"/>
          <w:bCs/>
        </w:rPr>
        <w:t xml:space="preserve">Таблица </w:t>
      </w:r>
      <w:r w:rsidRPr="00BB529E">
        <w:rPr>
          <w:rFonts w:ascii="PT Astra Serif" w:hAnsi="PT Astra Serif"/>
          <w:bCs/>
        </w:rPr>
        <w:t>4</w:t>
      </w:r>
    </w:p>
    <w:tbl>
      <w:tblPr>
        <w:tblW w:w="9356" w:type="dxa"/>
        <w:tblInd w:w="108" w:type="dxa"/>
        <w:tblLayout w:type="fixed"/>
        <w:tblLook w:val="0000" w:firstRow="0" w:lastRow="0" w:firstColumn="0" w:lastColumn="0" w:noHBand="0" w:noVBand="0"/>
      </w:tblPr>
      <w:tblGrid>
        <w:gridCol w:w="567"/>
        <w:gridCol w:w="1985"/>
        <w:gridCol w:w="1701"/>
        <w:gridCol w:w="712"/>
        <w:gridCol w:w="706"/>
        <w:gridCol w:w="851"/>
        <w:gridCol w:w="849"/>
        <w:gridCol w:w="1985"/>
      </w:tblGrid>
      <w:tr w:rsidR="00FD7FEA" w:rsidTr="00C1716C">
        <w:trPr>
          <w:trHeight w:val="906"/>
          <w:tblHeader/>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w:t>
            </w:r>
            <w:r>
              <w:rPr>
                <w:rFonts w:ascii="PT Astra Serif" w:eastAsia="Times New Roman" w:hAnsi="PT Astra Serif" w:cs="Times New Roman"/>
                <w:bCs/>
                <w:lang w:eastAsia="ru-RU"/>
              </w:rPr>
              <w:br/>
              <w:t>п/п</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Наименование показателя</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Ответственный за показатель</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Единица измерения</w:t>
            </w:r>
          </w:p>
        </w:tc>
        <w:tc>
          <w:tcPr>
            <w:tcW w:w="70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План </w:t>
            </w:r>
            <w:r>
              <w:rPr>
                <w:rFonts w:ascii="PT Astra Serif" w:eastAsia="Times New Roman" w:hAnsi="PT Astra Serif" w:cs="Times New Roman"/>
                <w:bCs/>
                <w:lang w:eastAsia="ru-RU"/>
              </w:rPr>
              <w:br/>
              <w:t>2023 год</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Факт</w:t>
            </w:r>
            <w:r>
              <w:rPr>
                <w:rFonts w:ascii="PT Astra Serif" w:eastAsia="Times New Roman" w:hAnsi="PT Astra Serif" w:cs="Times New Roman"/>
                <w:bCs/>
                <w:lang w:eastAsia="ru-RU"/>
              </w:rPr>
              <w:br/>
              <w:t>2023 год</w:t>
            </w:r>
          </w:p>
        </w:tc>
        <w:tc>
          <w:tcPr>
            <w:tcW w:w="849"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Процент выполнения </w:t>
            </w:r>
            <w:r>
              <w:rPr>
                <w:rFonts w:ascii="PT Astra Serif" w:eastAsia="Times New Roman" w:hAnsi="PT Astra Serif" w:cs="Times New Roman"/>
                <w:bCs/>
                <w:lang w:eastAsia="ru-RU"/>
              </w:rPr>
              <w:br/>
              <w:t>(в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p w:rsidR="00FD7FEA" w:rsidRDefault="00FD7FEA" w:rsidP="00C1716C">
            <w:pPr>
              <w:spacing w:after="0" w:line="240" w:lineRule="atLeast"/>
              <w:jc w:val="center"/>
              <w:rPr>
                <w:rFonts w:ascii="PT Astra Serif" w:eastAsia="Times New Roman" w:hAnsi="PT Astra Serif" w:cs="Times New Roman"/>
                <w:lang w:eastAsia="ru-RU"/>
              </w:rPr>
            </w:pPr>
          </w:p>
        </w:tc>
      </w:tr>
      <w:tr w:rsidR="00FD7FEA" w:rsidTr="00C1716C">
        <w:trPr>
          <w:trHeight w:val="151"/>
          <w:tblHeader/>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3</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4</w:t>
            </w:r>
          </w:p>
        </w:tc>
        <w:tc>
          <w:tcPr>
            <w:tcW w:w="70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5</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6</w:t>
            </w:r>
          </w:p>
        </w:tc>
        <w:tc>
          <w:tcPr>
            <w:tcW w:w="849"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8</w:t>
            </w:r>
          </w:p>
        </w:tc>
      </w:tr>
      <w:tr w:rsidR="00FD7FEA" w:rsidTr="00C1716C">
        <w:trPr>
          <w:trHeight w:val="1657"/>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Доля вида экономической деятельности «Добыча полезных ископаемых» в общем объеме промышленного производства</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pStyle w:val="2"/>
              <w:spacing w:before="0" w:line="240" w:lineRule="atLeast"/>
              <w:jc w:val="center"/>
              <w:rPr>
                <w:rFonts w:ascii="PT Astra Serif" w:hAnsi="PT Astra Serif" w:cs="Arial"/>
                <w:b w:val="0"/>
                <w:bCs w:val="0"/>
                <w:color w:val="auto"/>
                <w:sz w:val="22"/>
                <w:szCs w:val="22"/>
              </w:rPr>
            </w:pPr>
            <w:r>
              <w:rPr>
                <w:rFonts w:ascii="PT Astra Serif" w:eastAsiaTheme="minorHAnsi" w:hAnsi="PT Astra Serif" w:cs="PT Astra Serif"/>
                <w:b w:val="0"/>
                <w:bCs w:val="0"/>
                <w:color w:val="auto"/>
                <w:sz w:val="22"/>
                <w:szCs w:val="22"/>
              </w:rPr>
              <w:t>Департамент по недропользованию и развитию нефтегазодобывающего комплекса Администрации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lang w:eastAsia="ru-RU"/>
              </w:rPr>
            </w:pPr>
            <w:r>
              <w:rPr>
                <w:rFonts w:ascii="PT Astra Serif" w:eastAsia="Times New Roman" w:hAnsi="PT Astra Serif" w:cs="Times New Roman"/>
                <w:lang w:eastAsia="ru-RU"/>
              </w:rPr>
              <w:t>%</w:t>
            </w:r>
          </w:p>
        </w:tc>
        <w:tc>
          <w:tcPr>
            <w:tcW w:w="70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ind w:left="-111" w:right="-108"/>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37,2</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39,1</w:t>
            </w:r>
          </w:p>
        </w:tc>
        <w:tc>
          <w:tcPr>
            <w:tcW w:w="849"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105,1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tc>
      </w:tr>
      <w:tr w:rsidR="00FD7FEA" w:rsidTr="00C1716C">
        <w:trPr>
          <w:trHeight w:val="731"/>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2</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hAnsi="PT Astra Serif"/>
              </w:rPr>
              <w:t>Темп роста объема производства по виду экономической деятельности «Обрабатывающие производства» (в сопоставимых ценах, по отношению к 2020 году)</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tLeast"/>
              <w:jc w:val="center"/>
              <w:rPr>
                <w:rFonts w:ascii="PT Astra Serif" w:hAnsi="PT Astra Serif" w:cs="PT Astra Serif"/>
              </w:rPr>
            </w:pPr>
            <w:r>
              <w:rPr>
                <w:rFonts w:ascii="PT Astra Serif" w:hAnsi="PT Astra Serif" w:cs="PT Astra Serif"/>
              </w:rPr>
              <w:t>Департамент промышленности и энергетики Администрации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eastAsia="Times New Roman" w:hAnsi="PT Astra Serif" w:cs="Times New Roman"/>
                <w:lang w:eastAsia="ru-RU"/>
              </w:rPr>
              <w:t>%</w:t>
            </w:r>
          </w:p>
        </w:tc>
        <w:tc>
          <w:tcPr>
            <w:tcW w:w="70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ind w:left="-111" w:right="-108"/>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115</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116,3</w:t>
            </w:r>
          </w:p>
        </w:tc>
        <w:tc>
          <w:tcPr>
            <w:tcW w:w="849"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hAnsi="PT Astra Serif"/>
              </w:rPr>
              <w:t>101,1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tc>
      </w:tr>
      <w:tr w:rsidR="00FD7FEA" w:rsidTr="00C1716C">
        <w:trPr>
          <w:trHeight w:val="181"/>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3</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hAnsi="PT Astra Serif"/>
              </w:rPr>
              <w:t>Темп роста производительности труда по виду экономической деятельности «Обрабатывающие производства» ОКВЭД 2, в процентах к предыдущему году</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tLeast"/>
              <w:jc w:val="center"/>
              <w:rPr>
                <w:rFonts w:ascii="PT Astra Serif" w:hAnsi="PT Astra Serif" w:cs="PT Astra Serif"/>
              </w:rPr>
            </w:pPr>
            <w:r>
              <w:rPr>
                <w:rFonts w:ascii="PT Astra Serif" w:hAnsi="PT Astra Serif" w:cs="PT Astra Serif"/>
              </w:rPr>
              <w:t>Департамент промышленности и энергетики Администрации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eastAsia="Times New Roman" w:hAnsi="PT Astra Serif" w:cs="Times New Roman"/>
                <w:lang w:eastAsia="ru-RU"/>
              </w:rPr>
              <w:t>%</w:t>
            </w:r>
          </w:p>
        </w:tc>
        <w:tc>
          <w:tcPr>
            <w:tcW w:w="706"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ind w:left="-111" w:right="-108"/>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105,0</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112,1</w:t>
            </w:r>
          </w:p>
        </w:tc>
        <w:tc>
          <w:tcPr>
            <w:tcW w:w="849"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hAnsi="PT Astra Serif"/>
              </w:rPr>
            </w:pPr>
            <w:r>
              <w:rPr>
                <w:rFonts w:ascii="PT Astra Serif" w:hAnsi="PT Astra Serif"/>
              </w:rPr>
              <w:t>106,8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tc>
      </w:tr>
    </w:tbl>
    <w:p w:rsidR="00FD7FEA" w:rsidRDefault="00FD7FEA" w:rsidP="00FD7FEA">
      <w:pPr>
        <w:pStyle w:val="a4"/>
        <w:ind w:firstLine="709"/>
        <w:jc w:val="both"/>
        <w:rPr>
          <w:rFonts w:eastAsia="Times New Roman" w:cs="Times New Roman"/>
          <w:sz w:val="26"/>
          <w:szCs w:val="26"/>
          <w:highlight w:val="yellow"/>
          <w:lang w:eastAsia="ru-RU"/>
        </w:rPr>
      </w:pPr>
    </w:p>
    <w:p w:rsidR="00FD7FEA" w:rsidRPr="003C1D31" w:rsidRDefault="00FD7FEA" w:rsidP="00FD7FEA">
      <w:pPr>
        <w:pStyle w:val="a4"/>
        <w:ind w:firstLine="709"/>
        <w:jc w:val="both"/>
        <w:rPr>
          <w:rFonts w:eastAsia="Times New Roman" w:cs="Times New Roman"/>
          <w:sz w:val="26"/>
          <w:szCs w:val="26"/>
          <w:lang w:eastAsia="ru-RU"/>
        </w:rPr>
      </w:pPr>
      <w:r>
        <w:rPr>
          <w:rFonts w:eastAsia="Times New Roman" w:cs="Times New Roman"/>
          <w:sz w:val="26"/>
          <w:szCs w:val="26"/>
          <w:lang w:eastAsia="ru-RU"/>
        </w:rPr>
        <w:t xml:space="preserve">Доля вида экономической деятельности «Добыча полезных ископаемых» в общем объеме промышленного производства составила в отчётном году 39,1% при плановом значении 37,2%. Несмотря на снижение добычи углеводородного сырья, вклад вида экономической деятельности «Добыча полезных ископаемых» в развитие </w:t>
      </w:r>
      <w:r w:rsidRPr="003C1D31">
        <w:rPr>
          <w:rFonts w:eastAsia="Times New Roman" w:cs="Times New Roman"/>
          <w:sz w:val="26"/>
          <w:szCs w:val="26"/>
          <w:lang w:eastAsia="ru-RU"/>
        </w:rPr>
        <w:t>региональной экономики, в целом, не ослабевает, его доля в ВРП – около 25% и 13,5% - в налоговых доходах консолидированного бюджет региона, а в общем объеме промышленного производства держится на уровне 40%. В 2023 году на достижение показателя оказал положительное влияние и тот фактор, что сфера сопутствующих услуг в области добычи выросла – на 8,2%.</w:t>
      </w:r>
    </w:p>
    <w:p w:rsidR="00FD7FEA" w:rsidRDefault="00FD7FEA" w:rsidP="00FD7FEA">
      <w:pPr>
        <w:spacing w:after="0" w:line="240" w:lineRule="auto"/>
        <w:ind w:firstLine="709"/>
        <w:jc w:val="both"/>
        <w:rPr>
          <w:rFonts w:ascii="PT Astra Serif" w:hAnsi="PT Astra Serif"/>
          <w:sz w:val="26"/>
          <w:szCs w:val="26"/>
        </w:rPr>
      </w:pPr>
      <w:r w:rsidRPr="003C1D31">
        <w:rPr>
          <w:rFonts w:ascii="PT Astra Serif" w:hAnsi="PT Astra Serif"/>
          <w:sz w:val="26"/>
          <w:szCs w:val="26"/>
        </w:rPr>
        <w:lastRenderedPageBreak/>
        <w:t xml:space="preserve">Темп роста </w:t>
      </w:r>
      <w:r w:rsidRPr="003C1D31">
        <w:rPr>
          <w:rFonts w:ascii="PT Astra Serif" w:eastAsia="Times New Roman" w:hAnsi="PT Astra Serif" w:cs="Times New Roman"/>
          <w:sz w:val="26"/>
          <w:szCs w:val="26"/>
          <w:lang w:eastAsia="ru-RU"/>
        </w:rPr>
        <w:t>объема</w:t>
      </w:r>
      <w:r>
        <w:rPr>
          <w:rFonts w:ascii="PT Astra Serif" w:eastAsia="Times New Roman" w:hAnsi="PT Astra Serif" w:cs="Times New Roman"/>
          <w:sz w:val="26"/>
          <w:szCs w:val="26"/>
          <w:lang w:eastAsia="ru-RU"/>
        </w:rPr>
        <w:t xml:space="preserve"> производства по виду экономической деятельности «Обрабатывающие производства» (в сопоставимых ценах, по отношению к 2020 году) </w:t>
      </w:r>
      <w:r>
        <w:rPr>
          <w:rFonts w:ascii="PT Astra Serif" w:hAnsi="PT Astra Serif"/>
          <w:sz w:val="26"/>
          <w:szCs w:val="26"/>
        </w:rPr>
        <w:t>116,3% (план 2023 года – 115%).</w:t>
      </w:r>
    </w:p>
    <w:p w:rsidR="00FD7FEA" w:rsidRPr="00872878" w:rsidRDefault="00FD7FEA" w:rsidP="00FD7FEA">
      <w:pPr>
        <w:spacing w:after="0" w:line="240" w:lineRule="auto"/>
        <w:ind w:firstLine="709"/>
        <w:jc w:val="both"/>
        <w:rPr>
          <w:rFonts w:ascii="PT Astra Serif" w:hAnsi="PT Astra Serif"/>
          <w:sz w:val="26"/>
          <w:szCs w:val="26"/>
        </w:rPr>
      </w:pPr>
      <w:r>
        <w:rPr>
          <w:rFonts w:ascii="PT Astra Serif" w:eastAsia="Times New Roman" w:hAnsi="PT Astra Serif" w:cs="Times New Roman"/>
          <w:sz w:val="26"/>
          <w:szCs w:val="26"/>
          <w:lang w:eastAsia="ru-RU"/>
        </w:rPr>
        <w:t xml:space="preserve">Положительная динамика достижения показателя определена ростом производства в машиностроительном комплексе: увеличено производство электродвигателей переменного тока (АО «ТЭТЗ»), кабельно-проводниковой продукции (АО «Сибкабель», ООО «Томский кабельный завод», </w:t>
      </w:r>
      <w:r>
        <w:rPr>
          <w:rFonts w:ascii="PT Astra Serif" w:hAnsi="PT Astra Serif"/>
          <w:sz w:val="26"/>
          <w:szCs w:val="26"/>
        </w:rPr>
        <w:t>ЗАО «Металлист»</w:t>
      </w:r>
      <w:r>
        <w:rPr>
          <w:rFonts w:ascii="PT Astra Serif" w:eastAsia="Times New Roman" w:hAnsi="PT Astra Serif" w:cs="Times New Roman"/>
          <w:sz w:val="26"/>
          <w:szCs w:val="26"/>
          <w:lang w:eastAsia="ru-RU"/>
        </w:rPr>
        <w:t>), электронной</w:t>
      </w:r>
      <w:r>
        <w:rPr>
          <w:rFonts w:ascii="PT Astra Serif" w:hAnsi="PT Astra Serif"/>
          <w:sz w:val="26"/>
          <w:szCs w:val="26"/>
        </w:rPr>
        <w:t xml:space="preserve"> компонентной базы (АО «НИИ ПП», АО НПФ «Микран»), контрольно-измерительных приборов (АО «Манотомь»</w:t>
      </w:r>
      <w:r>
        <w:rPr>
          <w:rFonts w:ascii="PT Astra Serif" w:hAnsi="PT Astra Serif"/>
          <w:sz w:val="28"/>
          <w:szCs w:val="28"/>
        </w:rPr>
        <w:t xml:space="preserve">). </w:t>
      </w:r>
      <w:r>
        <w:rPr>
          <w:rFonts w:ascii="PT Astra Serif" w:hAnsi="PT Astra Serif"/>
          <w:sz w:val="26"/>
          <w:szCs w:val="26"/>
        </w:rPr>
        <w:t xml:space="preserve">Кроме того увеличено производство лекарственных средств и материалов, в том числе сывороток иммунных, вакцин и диагностических реагентов в НПО «Вирион», различных лекарственных препаратов в АО «Фармстандарт-Томскхимфарм». Также рост обусловлен сохранением сотрудничества с российскими вертикально-интегрированными </w:t>
      </w:r>
      <w:r w:rsidRPr="00872878">
        <w:rPr>
          <w:rFonts w:ascii="PT Astra Serif" w:hAnsi="PT Astra Serif"/>
          <w:sz w:val="26"/>
          <w:szCs w:val="26"/>
        </w:rPr>
        <w:t xml:space="preserve">компаниями в рамках реализации дорожных карт и выполнением масштабных задач предприятиями оборонно-промышленного комплекса. </w:t>
      </w:r>
    </w:p>
    <w:p w:rsidR="00FD7FEA" w:rsidRPr="00872878" w:rsidRDefault="00FD7FEA" w:rsidP="00FD7FEA">
      <w:pPr>
        <w:spacing w:after="0" w:line="240" w:lineRule="auto"/>
        <w:ind w:firstLine="709"/>
        <w:jc w:val="both"/>
        <w:rPr>
          <w:rFonts w:ascii="PT Astra Serif" w:hAnsi="PT Astra Serif"/>
          <w:sz w:val="26"/>
          <w:szCs w:val="26"/>
        </w:rPr>
      </w:pPr>
      <w:r w:rsidRPr="00872878">
        <w:rPr>
          <w:rFonts w:ascii="PT Astra Serif" w:hAnsi="PT Astra Serif"/>
          <w:sz w:val="26"/>
          <w:szCs w:val="26"/>
        </w:rPr>
        <w:t xml:space="preserve">Темп роста производительности труда по виду экономической деятельности «Обрабатывающие производства» ОКВЭД 2, в % к предыдущему году составил 112,1% (план – 105%). Рост показателя обусловлен увеличением отгруженных товаров собственного производства в нефтехимической, фармацефтической, металлургической и машиностроительной отраслях. </w:t>
      </w:r>
    </w:p>
    <w:p w:rsidR="00FD7FEA" w:rsidRPr="00872878" w:rsidRDefault="00FD7FEA" w:rsidP="00FD7FEA">
      <w:pPr>
        <w:spacing w:after="0" w:line="240" w:lineRule="auto"/>
        <w:ind w:firstLine="709"/>
        <w:jc w:val="both"/>
        <w:rPr>
          <w:rFonts w:ascii="PT Astra Serif" w:hAnsi="PT Astra Serif"/>
          <w:sz w:val="26"/>
          <w:szCs w:val="26"/>
        </w:rPr>
      </w:pPr>
      <w:r w:rsidRPr="00872878">
        <w:rPr>
          <w:rFonts w:ascii="PT Astra Serif" w:eastAsia="Times New Roman" w:hAnsi="PT Astra Serif" w:cs="Times New Roman"/>
          <w:sz w:val="26"/>
          <w:szCs w:val="26"/>
        </w:rPr>
        <w:t xml:space="preserve">По итогам </w:t>
      </w:r>
      <w:r w:rsidRPr="00872878">
        <w:rPr>
          <w:rFonts w:ascii="PT Astra Serif" w:eastAsia="Times New Roman" w:hAnsi="PT Astra Serif" w:cs="Times New Roman"/>
          <w:i/>
          <w:sz w:val="26"/>
          <w:szCs w:val="26"/>
        </w:rPr>
        <w:t>основного мероприятия «Создание и обеспечение механизма финансовой поддержки развития промышленности»</w:t>
      </w:r>
      <w:r w:rsidRPr="00872878">
        <w:rPr>
          <w:rFonts w:ascii="PT Astra Serif" w:eastAsia="Times New Roman" w:hAnsi="PT Astra Serif" w:cs="Times New Roman"/>
          <w:sz w:val="26"/>
          <w:szCs w:val="26"/>
        </w:rPr>
        <w:t xml:space="preserve"> </w:t>
      </w:r>
      <w:r w:rsidRPr="00872878">
        <w:rPr>
          <w:rFonts w:ascii="PT Astra Serif" w:eastAsia="Times New Roman" w:hAnsi="PT Astra Serif"/>
          <w:color w:val="000000"/>
          <w:sz w:val="26"/>
          <w:szCs w:val="26"/>
        </w:rPr>
        <w:t>показатель «Количество оказанных мер поддержки, предоставленных субъектам промышленности» составил 4 единицы (план – не менее 4 единиц).</w:t>
      </w:r>
    </w:p>
    <w:p w:rsidR="00FD7FEA" w:rsidRPr="00872878" w:rsidRDefault="00FD7FEA" w:rsidP="00FD7FEA">
      <w:pPr>
        <w:pStyle w:val="Default"/>
        <w:ind w:firstLine="709"/>
        <w:jc w:val="both"/>
        <w:rPr>
          <w:rFonts w:ascii="PT Astra Serif" w:eastAsia="Times New Roman" w:hAnsi="PT Astra Serif" w:cs="Times New Roman"/>
          <w:color w:val="auto"/>
          <w:sz w:val="26"/>
          <w:szCs w:val="26"/>
        </w:rPr>
      </w:pPr>
      <w:r w:rsidRPr="00872878">
        <w:rPr>
          <w:rFonts w:ascii="PT Astra Serif" w:hAnsi="PT Astra Serif"/>
          <w:color w:val="auto"/>
          <w:sz w:val="26"/>
          <w:szCs w:val="26"/>
        </w:rPr>
        <w:t>В целях стимулирования деятельности в сфере</w:t>
      </w:r>
      <w:r>
        <w:rPr>
          <w:rFonts w:ascii="PT Astra Serif" w:hAnsi="PT Astra Serif"/>
          <w:color w:val="auto"/>
          <w:sz w:val="26"/>
          <w:szCs w:val="26"/>
        </w:rPr>
        <w:t xml:space="preserve"> промышленности, в том числе развития и обеспечения деятельности регионального фонда развития промышленности, рассмотрен 1 проект «Промышленное производство пигментного </w:t>
      </w:r>
      <w:r w:rsidRPr="00872878">
        <w:rPr>
          <w:rFonts w:ascii="PT Astra Serif" w:hAnsi="PT Astra Serif"/>
          <w:color w:val="auto"/>
          <w:sz w:val="26"/>
          <w:szCs w:val="26"/>
        </w:rPr>
        <w:t xml:space="preserve">диоксида титана на основе фторидной технологии» предприятия </w:t>
      </w:r>
      <w:r w:rsidRPr="00872878">
        <w:rPr>
          <w:rFonts w:ascii="PT Astra Serif" w:hAnsi="PT Astra Serif"/>
          <w:color w:val="auto"/>
          <w:sz w:val="26"/>
          <w:szCs w:val="26"/>
        </w:rPr>
        <w:br/>
        <w:t>ООО «Сибирский Титан на получение поддержки Фонда развития промышленности (далее – ФРП) (план – 1 единица). Экспертным советом ФРП</w:t>
      </w:r>
      <w:r w:rsidRPr="00872878">
        <w:rPr>
          <w:rFonts w:ascii="PT Astra Serif" w:hAnsi="PT Astra Serif" w:cs="Times New Roman"/>
          <w:sz w:val="26"/>
          <w:szCs w:val="26"/>
        </w:rPr>
        <w:t xml:space="preserve"> проект одобрен к финансированию на общую сумму займа 2 000 000  тыс.  рублей.</w:t>
      </w:r>
    </w:p>
    <w:p w:rsidR="00FD7FEA" w:rsidRPr="00872878" w:rsidRDefault="00FD7FEA" w:rsidP="00FD7FEA">
      <w:pPr>
        <w:pStyle w:val="Default"/>
        <w:ind w:firstLine="709"/>
        <w:jc w:val="both"/>
        <w:rPr>
          <w:rFonts w:ascii="PT Astra Serif" w:hAnsi="PT Astra Serif"/>
          <w:sz w:val="26"/>
          <w:szCs w:val="26"/>
        </w:rPr>
      </w:pPr>
      <w:r w:rsidRPr="00872878">
        <w:rPr>
          <w:rFonts w:ascii="PT Astra Serif" w:hAnsi="PT Astra Serif"/>
          <w:sz w:val="26"/>
          <w:szCs w:val="26"/>
        </w:rPr>
        <w:t xml:space="preserve">В отчётном году Томская область приняла участие в 2 мероприятиях в сфере промышленности, (план – 2 единицы): </w:t>
      </w:r>
    </w:p>
    <w:p w:rsidR="00FD7FEA" w:rsidRPr="00872878" w:rsidRDefault="00FD7FEA" w:rsidP="00FD7FEA">
      <w:pPr>
        <w:pStyle w:val="Default"/>
        <w:numPr>
          <w:ilvl w:val="0"/>
          <w:numId w:val="3"/>
        </w:numPr>
        <w:ind w:left="0" w:firstLine="709"/>
        <w:jc w:val="both"/>
        <w:rPr>
          <w:rFonts w:ascii="PT Astra Serif" w:hAnsi="PT Astra Serif"/>
          <w:sz w:val="26"/>
          <w:szCs w:val="26"/>
        </w:rPr>
      </w:pPr>
      <w:r w:rsidRPr="00872878">
        <w:rPr>
          <w:rFonts w:ascii="PT Astra Serif" w:hAnsi="PT Astra Serif"/>
          <w:sz w:val="26"/>
          <w:szCs w:val="26"/>
        </w:rPr>
        <w:t>в июне ФРП принял участие в организации ярмарки в сфере промышленности по мерам поддержки субъектов промышленности Томской области в рамках стажировки по программе «Федеральная практика»;</w:t>
      </w:r>
    </w:p>
    <w:p w:rsidR="00FD7FEA" w:rsidRPr="00872878" w:rsidRDefault="00FD7FEA" w:rsidP="00FD7FEA">
      <w:pPr>
        <w:pStyle w:val="Default"/>
        <w:numPr>
          <w:ilvl w:val="0"/>
          <w:numId w:val="3"/>
        </w:numPr>
        <w:ind w:left="0" w:firstLine="709"/>
        <w:jc w:val="both"/>
        <w:rPr>
          <w:rFonts w:ascii="PT Astra Serif" w:hAnsi="PT Astra Serif"/>
          <w:sz w:val="26"/>
          <w:szCs w:val="26"/>
        </w:rPr>
      </w:pPr>
      <w:r w:rsidRPr="00872878">
        <w:rPr>
          <w:rFonts w:ascii="PT Astra Serif" w:hAnsi="PT Astra Serif"/>
          <w:sz w:val="26"/>
          <w:szCs w:val="26"/>
        </w:rPr>
        <w:t>в апреле по приглашению Министерства промышленности и торговли Российской Федерации, в целях укрепления промышленного сотрудничества со странами Центральной Азии, а также подписания взаимовыгодных соглашений в сфере промышленности и информационных технологий, в составе делегации Томской области ФРП принял участие в организации выставочной экспозиции промышленных предприятий АО «ТЭМЗ», ОАО «Манотомь», АО «Сибкабель», АО «Физтех-Энерго», ООО «УТС» на международной выставке «Иннопром-Центральная Азия 2023».</w:t>
      </w:r>
    </w:p>
    <w:p w:rsidR="00FD7FEA" w:rsidRPr="00872878" w:rsidRDefault="00FD7FEA" w:rsidP="00FD7FEA">
      <w:pPr>
        <w:spacing w:after="0" w:line="240" w:lineRule="auto"/>
        <w:ind w:firstLine="709"/>
        <w:jc w:val="both"/>
        <w:rPr>
          <w:rFonts w:ascii="PT Astra Serif" w:eastAsia="Times New Roman" w:hAnsi="PT Astra Serif"/>
          <w:sz w:val="26"/>
          <w:szCs w:val="26"/>
        </w:rPr>
      </w:pPr>
      <w:r w:rsidRPr="00872878">
        <w:rPr>
          <w:rFonts w:ascii="PT Astra Serif" w:hAnsi="PT Astra Serif"/>
          <w:sz w:val="26"/>
          <w:szCs w:val="26"/>
        </w:rPr>
        <w:t xml:space="preserve">По итогам </w:t>
      </w:r>
      <w:r w:rsidRPr="00872878">
        <w:rPr>
          <w:rFonts w:ascii="PT Astra Serif" w:hAnsi="PT Astra Serif"/>
          <w:i/>
          <w:sz w:val="26"/>
          <w:szCs w:val="26"/>
        </w:rPr>
        <w:t xml:space="preserve">основного мероприятия «Развитие в Томской области инфраструктуры и системы мер поддержки предприятий промышленности» </w:t>
      </w:r>
      <w:r w:rsidRPr="00872878">
        <w:rPr>
          <w:rFonts w:ascii="PT Astra Serif" w:eastAsia="Times New Roman" w:hAnsi="PT Astra Serif" w:cs="Times New Roman"/>
          <w:sz w:val="26"/>
          <w:szCs w:val="26"/>
          <w:lang w:eastAsia="ru-RU"/>
        </w:rPr>
        <w:lastRenderedPageBreak/>
        <w:t>финансовая поддержка</w:t>
      </w:r>
      <w:r w:rsidRPr="00872878">
        <w:rPr>
          <w:rFonts w:ascii="PT Astra Serif" w:eastAsia="Times New Roman" w:hAnsi="PT Astra Serif"/>
          <w:sz w:val="26"/>
          <w:szCs w:val="26"/>
        </w:rPr>
        <w:t xml:space="preserve"> оказана 3 промышленным предприятиям (план – 4 </w:t>
      </w:r>
      <w:r w:rsidRPr="00872878">
        <w:rPr>
          <w:rFonts w:ascii="PT Astra Serif" w:hAnsi="PT Astra Serif"/>
          <w:sz w:val="26"/>
          <w:szCs w:val="26"/>
        </w:rPr>
        <w:t>единицы</w:t>
      </w:r>
      <w:r w:rsidRPr="00872878">
        <w:rPr>
          <w:rFonts w:ascii="PT Astra Serif" w:eastAsia="Times New Roman" w:hAnsi="PT Astra Serif"/>
          <w:sz w:val="26"/>
          <w:szCs w:val="26"/>
        </w:rPr>
        <w:t>):</w:t>
      </w:r>
    </w:p>
    <w:p w:rsidR="00FD7FEA" w:rsidRPr="00872878" w:rsidRDefault="00FD7FEA" w:rsidP="00FD7FEA">
      <w:pPr>
        <w:pStyle w:val="a9"/>
        <w:numPr>
          <w:ilvl w:val="0"/>
          <w:numId w:val="4"/>
        </w:numPr>
        <w:spacing w:before="0" w:beforeAutospacing="0" w:after="0" w:afterAutospacing="0"/>
        <w:ind w:left="0" w:firstLine="709"/>
        <w:contextualSpacing/>
        <w:jc w:val="both"/>
        <w:rPr>
          <w:rFonts w:eastAsia="Times New Roman"/>
        </w:rPr>
      </w:pPr>
      <w:r w:rsidRPr="00872878">
        <w:rPr>
          <w:rFonts w:ascii="PT Astra Serif" w:eastAsia="Times New Roman" w:hAnsi="PT Astra Serif"/>
          <w:sz w:val="26"/>
          <w:szCs w:val="26"/>
        </w:rPr>
        <w:t>ООО «ТИЗ», ООО «ТЗРО» предоставлена субсидия на возмещение части затрат на приобретение нового оборудования;</w:t>
      </w:r>
    </w:p>
    <w:p w:rsidR="00FD7FEA" w:rsidRPr="00872878" w:rsidRDefault="00FD7FEA" w:rsidP="00FD7FEA">
      <w:pPr>
        <w:pStyle w:val="a9"/>
        <w:numPr>
          <w:ilvl w:val="0"/>
          <w:numId w:val="4"/>
        </w:numPr>
        <w:spacing w:before="0" w:beforeAutospacing="0" w:after="120" w:afterAutospacing="0"/>
        <w:ind w:left="0" w:firstLine="709"/>
        <w:contextualSpacing/>
        <w:jc w:val="both"/>
        <w:rPr>
          <w:rFonts w:ascii="PT Astra Serif" w:eastAsia="Times New Roman" w:hAnsi="PT Astra Serif"/>
          <w:sz w:val="26"/>
          <w:szCs w:val="26"/>
        </w:rPr>
      </w:pPr>
      <w:r w:rsidRPr="00872878">
        <w:rPr>
          <w:rFonts w:ascii="PT Astra Serif" w:eastAsia="Times New Roman" w:hAnsi="PT Astra Serif"/>
          <w:sz w:val="26"/>
          <w:szCs w:val="26"/>
        </w:rPr>
        <w:t xml:space="preserve">ООО «НПК ТЭТа» предоставлен займ на реализацию двух инвестиционных проектов: </w:t>
      </w:r>
    </w:p>
    <w:p w:rsidR="00FD7FEA" w:rsidRDefault="00FD7FEA" w:rsidP="00FD7FEA">
      <w:pPr>
        <w:pStyle w:val="a9"/>
        <w:spacing w:before="0" w:beforeAutospacing="0" w:after="120" w:afterAutospacing="0"/>
        <w:ind w:firstLine="709"/>
        <w:contextualSpacing/>
        <w:jc w:val="both"/>
        <w:rPr>
          <w:rFonts w:ascii="PT Astra Serif" w:eastAsia="Times New Roman" w:hAnsi="PT Astra Serif"/>
          <w:sz w:val="26"/>
          <w:szCs w:val="26"/>
        </w:rPr>
      </w:pPr>
      <w:r w:rsidRPr="00872878">
        <w:rPr>
          <w:rFonts w:ascii="PT Astra Serif" w:eastAsia="Times New Roman" w:hAnsi="PT Astra Serif"/>
          <w:sz w:val="26"/>
          <w:szCs w:val="26"/>
        </w:rPr>
        <w:t>1) «Увеличение основных фондов предприятия для усовершенствования технологии производства установок электронно-лучевой</w:t>
      </w:r>
      <w:r>
        <w:rPr>
          <w:rFonts w:ascii="PT Astra Serif" w:eastAsia="Times New Roman" w:hAnsi="PT Astra Serif"/>
          <w:sz w:val="26"/>
          <w:szCs w:val="26"/>
        </w:rPr>
        <w:t xml:space="preserve"> сварки»: Вертикально-токарный станок Oturn VT130ATC+C производитель Ningbo Oturn Machinery; </w:t>
      </w:r>
    </w:p>
    <w:p w:rsidR="00FD7FEA" w:rsidRPr="00872878" w:rsidRDefault="00FD7FEA" w:rsidP="00FD7FEA">
      <w:pPr>
        <w:pStyle w:val="a9"/>
        <w:spacing w:before="0" w:beforeAutospacing="0" w:after="120" w:afterAutospacing="0"/>
        <w:ind w:firstLine="709"/>
        <w:contextualSpacing/>
        <w:jc w:val="both"/>
        <w:rPr>
          <w:rFonts w:ascii="PT Astra Serif" w:eastAsia="Times New Roman" w:hAnsi="PT Astra Serif"/>
          <w:sz w:val="26"/>
          <w:szCs w:val="26"/>
        </w:rPr>
      </w:pPr>
      <w:r>
        <w:rPr>
          <w:rFonts w:ascii="PT Astra Serif" w:eastAsia="Times New Roman" w:hAnsi="PT Astra Serif"/>
          <w:sz w:val="26"/>
          <w:szCs w:val="26"/>
        </w:rPr>
        <w:t xml:space="preserve">2) «Увеличение основных </w:t>
      </w:r>
      <w:r w:rsidRPr="00872878">
        <w:rPr>
          <w:rFonts w:ascii="PT Astra Serif" w:eastAsia="Times New Roman" w:hAnsi="PT Astra Serif"/>
          <w:sz w:val="26"/>
          <w:szCs w:val="26"/>
        </w:rPr>
        <w:t>фондов предприятия для усовершенствования технологии производства установок электронно-лучевой сварки»: Маркиратор лазерный настольный MЛН-30 JPT МОРА.</w:t>
      </w:r>
    </w:p>
    <w:p w:rsidR="00FD7FEA" w:rsidRPr="00872878" w:rsidRDefault="00FD7FEA" w:rsidP="00FD7FEA">
      <w:pPr>
        <w:pStyle w:val="a9"/>
        <w:spacing w:before="0" w:beforeAutospacing="0" w:after="120" w:afterAutospacing="0"/>
        <w:ind w:firstLine="709"/>
        <w:contextualSpacing/>
        <w:jc w:val="both"/>
        <w:rPr>
          <w:rFonts w:ascii="PT Astra Serif" w:hAnsi="PT Astra Serif"/>
          <w:sz w:val="26"/>
          <w:szCs w:val="26"/>
        </w:rPr>
      </w:pPr>
      <w:r w:rsidRPr="00872878">
        <w:rPr>
          <w:rFonts w:ascii="PT Astra Serif" w:hAnsi="PT Astra Serif"/>
          <w:sz w:val="26"/>
          <w:szCs w:val="26"/>
        </w:rPr>
        <w:t>Недостижение показателя обусловлено тем, что одному предприятию (ООО  «НПК ТЭТа») оказано две меры поддержки на всю сумму субсидии.</w:t>
      </w:r>
    </w:p>
    <w:p w:rsidR="00FD7FEA" w:rsidRPr="00872878" w:rsidRDefault="00FD7FEA" w:rsidP="00FD7FEA">
      <w:pPr>
        <w:pStyle w:val="a9"/>
        <w:spacing w:before="0" w:beforeAutospacing="0" w:after="0" w:afterAutospacing="0"/>
        <w:ind w:firstLine="709"/>
        <w:contextualSpacing/>
        <w:jc w:val="both"/>
        <w:rPr>
          <w:rFonts w:ascii="PT Astra Serif" w:eastAsia="Times New Roman" w:hAnsi="PT Astra Serif"/>
          <w:sz w:val="26"/>
          <w:szCs w:val="26"/>
        </w:rPr>
      </w:pPr>
      <w:r w:rsidRPr="00872878">
        <w:rPr>
          <w:rFonts w:ascii="PT Astra Serif" w:hAnsi="PT Astra Serif"/>
          <w:sz w:val="26"/>
          <w:szCs w:val="26"/>
        </w:rPr>
        <w:t xml:space="preserve">Уровень обеспеченности финансовой поддержкой предприятий промышленности - 100% (плановое значение – 89,0%). Перевыполнение показателя обусловлено увеличением финансирования. </w:t>
      </w:r>
    </w:p>
    <w:p w:rsidR="00FD7FEA" w:rsidRPr="00872878" w:rsidRDefault="00FD7FEA" w:rsidP="00FD7FEA">
      <w:pPr>
        <w:pStyle w:val="a6"/>
        <w:spacing w:after="0" w:line="240" w:lineRule="auto"/>
        <w:ind w:left="0" w:firstLine="709"/>
        <w:jc w:val="both"/>
        <w:rPr>
          <w:sz w:val="26"/>
          <w:szCs w:val="26"/>
        </w:rPr>
      </w:pPr>
      <w:r w:rsidRPr="00872878">
        <w:rPr>
          <w:sz w:val="26"/>
          <w:szCs w:val="26"/>
        </w:rPr>
        <w:t xml:space="preserve">В рамках </w:t>
      </w:r>
      <w:r w:rsidRPr="00FC1851">
        <w:rPr>
          <w:i/>
          <w:sz w:val="26"/>
          <w:szCs w:val="26"/>
        </w:rPr>
        <w:t>основного мероприятия</w:t>
      </w:r>
      <w:r w:rsidRPr="00872878">
        <w:rPr>
          <w:sz w:val="26"/>
          <w:szCs w:val="26"/>
        </w:rPr>
        <w:t xml:space="preserve"> достигнуты следующие показатели:</w:t>
      </w:r>
    </w:p>
    <w:p w:rsidR="00FD7FEA" w:rsidRDefault="00FD7FEA" w:rsidP="00FD7FEA">
      <w:pPr>
        <w:pStyle w:val="a6"/>
        <w:numPr>
          <w:ilvl w:val="0"/>
          <w:numId w:val="5"/>
        </w:numPr>
        <w:spacing w:after="0" w:line="240" w:lineRule="auto"/>
        <w:ind w:left="142" w:firstLine="709"/>
        <w:jc w:val="both"/>
        <w:rPr>
          <w:sz w:val="26"/>
          <w:szCs w:val="26"/>
        </w:rPr>
      </w:pPr>
      <w:r w:rsidRPr="00872878">
        <w:rPr>
          <w:sz w:val="26"/>
          <w:szCs w:val="26"/>
        </w:rPr>
        <w:t>объем инвестиций в основной капитал по</w:t>
      </w:r>
      <w:r>
        <w:rPr>
          <w:sz w:val="26"/>
          <w:szCs w:val="26"/>
        </w:rPr>
        <w:t xml:space="preserve"> виду деятельности «Обрабатывающие производства» ОКВЭД 2, за исключением отраслей, не относящихся к сфере ведения Минпромторга России (накопленным итогом) составил 230,6 млн. рублей;</w:t>
      </w:r>
    </w:p>
    <w:p w:rsidR="00FD7FEA" w:rsidRDefault="00FD7FEA" w:rsidP="00FD7FEA">
      <w:pPr>
        <w:pStyle w:val="a6"/>
        <w:numPr>
          <w:ilvl w:val="0"/>
          <w:numId w:val="5"/>
        </w:numPr>
        <w:spacing w:line="240" w:lineRule="auto"/>
        <w:ind w:left="142" w:firstLine="709"/>
        <w:jc w:val="both"/>
        <w:rPr>
          <w:sz w:val="26"/>
          <w:szCs w:val="26"/>
        </w:rPr>
      </w:pPr>
      <w:r>
        <w:rPr>
          <w:sz w:val="26"/>
          <w:szCs w:val="26"/>
        </w:rPr>
        <w:t>объем отгруженных товаров собственного производства по виду деятельности «Обрабатывающие производства» ОКВЭД 2, за исключением отраслей, не относящихся к сфере ведения Минпромторга России (накопленным итогом)  составил 1 593,7 млн. рублей;</w:t>
      </w:r>
    </w:p>
    <w:p w:rsidR="00FD7FEA" w:rsidRDefault="00FD7FEA" w:rsidP="00FD7FEA">
      <w:pPr>
        <w:pStyle w:val="a6"/>
        <w:numPr>
          <w:ilvl w:val="0"/>
          <w:numId w:val="5"/>
        </w:numPr>
        <w:spacing w:line="240" w:lineRule="auto"/>
        <w:ind w:left="142" w:firstLine="709"/>
        <w:jc w:val="both"/>
        <w:rPr>
          <w:sz w:val="26"/>
          <w:szCs w:val="26"/>
        </w:rPr>
      </w:pPr>
      <w:r>
        <w:rPr>
          <w:sz w:val="26"/>
          <w:szCs w:val="26"/>
        </w:rPr>
        <w:t>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Минпромторга России составило 163,7 млн. рублей.</w:t>
      </w:r>
    </w:p>
    <w:p w:rsidR="00FD7FEA" w:rsidRPr="00872878" w:rsidRDefault="00FD7FEA" w:rsidP="00FD7FEA">
      <w:pPr>
        <w:pStyle w:val="a6"/>
        <w:spacing w:line="240" w:lineRule="auto"/>
        <w:ind w:left="142" w:firstLine="709"/>
        <w:jc w:val="both"/>
        <w:rPr>
          <w:sz w:val="26"/>
          <w:szCs w:val="26"/>
        </w:rPr>
      </w:pPr>
      <w:r>
        <w:rPr>
          <w:sz w:val="26"/>
          <w:szCs w:val="26"/>
        </w:rPr>
        <w:t xml:space="preserve">По итогам </w:t>
      </w:r>
      <w:r>
        <w:rPr>
          <w:i/>
          <w:sz w:val="26"/>
          <w:szCs w:val="26"/>
        </w:rPr>
        <w:t>основного мероприятия «Стимулирование промышленных предприятий к созданию новой и высокотехнологичной продукции»</w:t>
      </w:r>
      <w:r>
        <w:rPr>
          <w:sz w:val="26"/>
          <w:szCs w:val="26"/>
        </w:rPr>
        <w:t xml:space="preserve"> темп роста объема </w:t>
      </w:r>
      <w:r w:rsidRPr="00872878">
        <w:rPr>
          <w:sz w:val="26"/>
          <w:szCs w:val="26"/>
        </w:rPr>
        <w:t xml:space="preserve">отгруженной продукции по виду деятельности «Обрабатывающие производства» ОКВЭД 2» составил 121,0% при плановом значении – 109,8%. Рост показателя обусловлен увеличением отгруженных товаров собственного производства в машиностроительной, фармацефтической, металлургической и нефтехимической отраслях. </w:t>
      </w:r>
    </w:p>
    <w:p w:rsidR="00FD7FEA" w:rsidRDefault="00FD7FEA" w:rsidP="00FD7FEA">
      <w:pPr>
        <w:pStyle w:val="a6"/>
        <w:spacing w:line="240" w:lineRule="auto"/>
        <w:ind w:left="142" w:firstLine="709"/>
        <w:jc w:val="both"/>
        <w:rPr>
          <w:sz w:val="26"/>
          <w:szCs w:val="26"/>
        </w:rPr>
      </w:pPr>
      <w:r w:rsidRPr="00872878">
        <w:rPr>
          <w:sz w:val="26"/>
          <w:szCs w:val="26"/>
        </w:rPr>
        <w:t xml:space="preserve">В рамках </w:t>
      </w:r>
      <w:r w:rsidRPr="00FC1851">
        <w:rPr>
          <w:i/>
          <w:sz w:val="26"/>
          <w:szCs w:val="26"/>
        </w:rPr>
        <w:t>основного мероприятия</w:t>
      </w:r>
      <w:r w:rsidRPr="00872878">
        <w:rPr>
          <w:sz w:val="26"/>
          <w:szCs w:val="26"/>
        </w:rPr>
        <w:t xml:space="preserve"> оказано содействие в реализации 3- х проектов, направленных на разработку, освоение производства новой продукции, технологий, реализуемых с привлечением</w:t>
      </w:r>
      <w:r>
        <w:rPr>
          <w:sz w:val="26"/>
          <w:szCs w:val="26"/>
        </w:rPr>
        <w:t xml:space="preserve"> средств из федерального бюджета, что соответствует плановому значению. На федеральном уровне поддерживаются кооперационные проекты с научными организациями и ВУЗами, направленные на разработку и внедрение новых продуктов и технологических инноваций. АО «НИИ ПП», АО НПФ «Микран», ОАО «Манотомь» являются победителями </w:t>
      </w:r>
      <w:r>
        <w:rPr>
          <w:sz w:val="26"/>
          <w:szCs w:val="26"/>
        </w:rPr>
        <w:lastRenderedPageBreak/>
        <w:t>конкурсов и получателями субсидии на создание научно-технического задела базовых технологий производства электронных компонентов.</w:t>
      </w:r>
    </w:p>
    <w:p w:rsidR="00FD7FEA" w:rsidRDefault="00FD7FEA" w:rsidP="00FD7FEA">
      <w:pPr>
        <w:spacing w:after="0" w:line="240" w:lineRule="auto"/>
        <w:ind w:firstLine="709"/>
        <w:jc w:val="both"/>
        <w:rPr>
          <w:rFonts w:ascii="PT Astra Serif" w:hAnsi="PT Astra Serif"/>
          <w:b/>
          <w:bCs/>
          <w:i/>
          <w:sz w:val="26"/>
          <w:szCs w:val="26"/>
        </w:rPr>
      </w:pPr>
      <w:r>
        <w:rPr>
          <w:rFonts w:ascii="PT Astra Serif" w:eastAsia="Times New Roman" w:hAnsi="PT Astra Serif" w:cs="PT Astra Serif"/>
          <w:b/>
          <w:i/>
          <w:sz w:val="26"/>
          <w:szCs w:val="26"/>
        </w:rPr>
        <w:t>Подпрограмма</w:t>
      </w:r>
      <w:r>
        <w:rPr>
          <w:rFonts w:ascii="PT Astra Serif" w:hAnsi="PT Astra Serif"/>
          <w:b/>
          <w:i/>
          <w:sz w:val="26"/>
          <w:szCs w:val="26"/>
        </w:rPr>
        <w:t xml:space="preserve"> 3 «</w:t>
      </w:r>
      <w:r>
        <w:rPr>
          <w:rFonts w:ascii="PT Astra Serif" w:hAnsi="PT Astra Serif"/>
          <w:b/>
          <w:bCs/>
          <w:i/>
          <w:sz w:val="26"/>
          <w:szCs w:val="26"/>
        </w:rPr>
        <w:t>Совершенствование управления социально-экономическим развитием Томской области»</w:t>
      </w:r>
    </w:p>
    <w:p w:rsidR="00FD7FEA" w:rsidRDefault="00FD7FEA" w:rsidP="00FD7FEA">
      <w:pPr>
        <w:spacing w:after="0" w:line="240" w:lineRule="auto"/>
        <w:ind w:left="710"/>
        <w:jc w:val="center"/>
        <w:rPr>
          <w:rFonts w:ascii="PT Astra Serif" w:eastAsia="Times New Roman" w:hAnsi="PT Astra Serif"/>
          <w:b/>
          <w:sz w:val="26"/>
          <w:szCs w:val="26"/>
        </w:rPr>
      </w:pPr>
      <w:r>
        <w:rPr>
          <w:rFonts w:ascii="PT Astra Serif" w:eastAsia="Times New Roman" w:hAnsi="PT Astra Serif"/>
          <w:b/>
          <w:sz w:val="26"/>
          <w:szCs w:val="26"/>
        </w:rPr>
        <w:t>Показатели цели Подпрограммы 3 за 2023 год</w:t>
      </w:r>
    </w:p>
    <w:p w:rsidR="00FD7FEA" w:rsidRPr="00BB529E" w:rsidRDefault="00FD7FEA" w:rsidP="00FD7FEA">
      <w:pPr>
        <w:spacing w:after="0" w:line="240" w:lineRule="auto"/>
        <w:ind w:left="710"/>
        <w:jc w:val="right"/>
        <w:rPr>
          <w:rFonts w:ascii="PT Astra Serif" w:eastAsia="Times New Roman" w:hAnsi="PT Astra Serif"/>
          <w:b/>
          <w:sz w:val="26"/>
          <w:szCs w:val="26"/>
        </w:rPr>
      </w:pPr>
      <w:r>
        <w:rPr>
          <w:rFonts w:ascii="PT Astra Serif" w:eastAsia="Times New Roman" w:hAnsi="PT Astra Serif" w:cs="Times New Roman"/>
          <w:bCs/>
          <w:sz w:val="26"/>
          <w:szCs w:val="26"/>
        </w:rPr>
        <w:t xml:space="preserve">Таблица </w:t>
      </w:r>
      <w:r w:rsidRPr="00BB529E">
        <w:rPr>
          <w:rFonts w:ascii="PT Astra Serif" w:eastAsia="Times New Roman" w:hAnsi="PT Astra Serif" w:cs="Times New Roman"/>
          <w:bCs/>
          <w:sz w:val="26"/>
          <w:szCs w:val="26"/>
        </w:rPr>
        <w:t>5</w:t>
      </w:r>
    </w:p>
    <w:tbl>
      <w:tblPr>
        <w:tblW w:w="9356" w:type="dxa"/>
        <w:tblInd w:w="108" w:type="dxa"/>
        <w:tblLayout w:type="fixed"/>
        <w:tblLook w:val="0000" w:firstRow="0" w:lastRow="0" w:firstColumn="0" w:lastColumn="0" w:noHBand="0" w:noVBand="0"/>
      </w:tblPr>
      <w:tblGrid>
        <w:gridCol w:w="567"/>
        <w:gridCol w:w="1985"/>
        <w:gridCol w:w="1701"/>
        <w:gridCol w:w="712"/>
        <w:gridCol w:w="847"/>
        <w:gridCol w:w="851"/>
        <w:gridCol w:w="850"/>
        <w:gridCol w:w="1843"/>
      </w:tblGrid>
      <w:tr w:rsidR="00FD7FEA" w:rsidTr="00C1716C">
        <w:trPr>
          <w:trHeight w:val="906"/>
          <w:tblHeader/>
        </w:trPr>
        <w:tc>
          <w:tcPr>
            <w:tcW w:w="567" w:type="dxa"/>
            <w:tcBorders>
              <w:top w:val="single" w:sz="4" w:space="0" w:color="000000"/>
              <w:left w:val="single" w:sz="4" w:space="0" w:color="000000"/>
              <w:bottom w:val="single" w:sz="4" w:space="0" w:color="000000"/>
            </w:tcBorders>
            <w:shd w:val="clear" w:color="auto" w:fill="auto"/>
          </w:tcPr>
          <w:p w:rsidR="00FD7FEA" w:rsidRDefault="00FD7FEA" w:rsidP="00C1716C">
            <w:pPr>
              <w:spacing w:after="0" w:line="240" w:lineRule="auto"/>
              <w:contextualSpacing/>
              <w:rPr>
                <w:rFonts w:ascii="PT Astra Serif" w:eastAsia="Times New Roman" w:hAnsi="PT Astra Serif" w:cs="Times New Roman"/>
                <w:bCs/>
                <w:lang w:eastAsia="ru-RU"/>
              </w:rPr>
            </w:pPr>
            <w:r>
              <w:rPr>
                <w:rFonts w:ascii="PT Astra Serif" w:eastAsia="Times New Roman" w:hAnsi="PT Astra Serif" w:cs="Times New Roman"/>
                <w:bCs/>
                <w:lang w:eastAsia="ru-RU"/>
              </w:rPr>
              <w:t>№</w:t>
            </w:r>
            <w:r>
              <w:rPr>
                <w:rFonts w:ascii="PT Astra Serif" w:eastAsia="Times New Roman" w:hAnsi="PT Astra Serif" w:cs="Times New Roman"/>
                <w:bCs/>
                <w:lang w:eastAsia="ru-RU"/>
              </w:rPr>
              <w:br/>
              <w:t>п/п</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Наименование показателя</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Ответственный за показатель</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Единица измерения</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План </w:t>
            </w:r>
            <w:r>
              <w:rPr>
                <w:rFonts w:ascii="PT Astra Serif" w:eastAsia="Times New Roman" w:hAnsi="PT Astra Serif" w:cs="Times New Roman"/>
                <w:bCs/>
                <w:lang w:eastAsia="ru-RU"/>
              </w:rPr>
              <w:br/>
              <w:t>2023 год</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Факт</w:t>
            </w:r>
            <w:r>
              <w:rPr>
                <w:rFonts w:ascii="PT Astra Serif" w:eastAsia="Times New Roman" w:hAnsi="PT Astra Serif" w:cs="Times New Roman"/>
                <w:bCs/>
                <w:lang w:eastAsia="ru-RU"/>
              </w:rPr>
              <w:br/>
              <w:t>2023 год</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Процент выполнения </w:t>
            </w:r>
            <w:r>
              <w:rPr>
                <w:rFonts w:ascii="PT Astra Serif" w:eastAsia="Times New Roman" w:hAnsi="PT Astra Serif" w:cs="Times New Roman"/>
                <w:bCs/>
                <w:lang w:eastAsia="ru-RU"/>
              </w:rPr>
              <w:br/>
              <w:t>(в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p w:rsidR="00FD7FEA" w:rsidRDefault="00FD7FEA" w:rsidP="00C1716C">
            <w:pPr>
              <w:spacing w:after="0" w:line="240" w:lineRule="atLeast"/>
              <w:jc w:val="center"/>
              <w:rPr>
                <w:rFonts w:ascii="PT Astra Serif" w:eastAsia="Times New Roman" w:hAnsi="PT Astra Serif" w:cs="Times New Roman"/>
                <w:lang w:eastAsia="ru-RU"/>
              </w:rPr>
            </w:pPr>
          </w:p>
        </w:tc>
      </w:tr>
      <w:tr w:rsidR="00FD7FEA" w:rsidTr="00C1716C">
        <w:trPr>
          <w:trHeight w:val="731"/>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rPr>
                <w:rFonts w:ascii="PT Astra Serif" w:eastAsia="Times New Roman" w:hAnsi="PT Astra Serif"/>
                <w:bCs/>
                <w:lang w:eastAsia="ru-RU"/>
              </w:rPr>
            </w:pPr>
            <w:r>
              <w:rPr>
                <w:rFonts w:ascii="PT Astra Serif" w:eastAsia="Times New Roman" w:hAnsi="PT Astra Serif"/>
                <w:bCs/>
                <w:lang w:eastAsia="ru-RU"/>
              </w:rPr>
              <w:t>Доля фактических макропоказателей среднесрочного прогноза социально-экономического развития Томской области, по которым отклонение от прогнозируемых макропоказателей в предыдущем году составляет не более 10%</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uto"/>
              <w:jc w:val="center"/>
              <w:rPr>
                <w:rFonts w:ascii="PT Astra Serif" w:hAnsi="PT Astra Serif" w:cs="PT Astra Serif"/>
              </w:rPr>
            </w:pPr>
            <w:r>
              <w:rPr>
                <w:rFonts w:ascii="PT Astra Serif" w:hAnsi="PT Astra Serif" w:cs="PT Astra Serif"/>
              </w:rPr>
              <w:t>Департамент экономики Администрации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jc w:val="center"/>
              <w:rPr>
                <w:rFonts w:ascii="PT Astra Serif" w:eastAsia="Times New Roman" w:hAnsi="PT Astra Serif"/>
                <w:lang w:eastAsia="ru-RU"/>
              </w:rPr>
            </w:pPr>
            <w:r>
              <w:rPr>
                <w:rFonts w:ascii="PT Astra Serif" w:eastAsia="Times New Roman" w:hAnsi="PT Astra Serif"/>
                <w:lang w:eastAsia="ru-RU"/>
              </w:rPr>
              <w:t>%</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val="en-US" w:eastAsia="ru-RU"/>
              </w:rPr>
            </w:pPr>
            <w:r>
              <w:rPr>
                <w:rFonts w:ascii="PT Astra Serif" w:eastAsia="Times New Roman" w:hAnsi="PT Astra Serif"/>
                <w:bCs/>
                <w:lang w:val="en-US" w:eastAsia="ru-RU"/>
              </w:rPr>
              <w:t>100</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val="en-US" w:eastAsia="ru-RU"/>
              </w:rPr>
              <w:t>82</w:t>
            </w:r>
            <w:r>
              <w:rPr>
                <w:rFonts w:ascii="PT Astra Serif" w:eastAsia="Times New Roman" w:hAnsi="PT Astra Serif"/>
                <w:bCs/>
                <w:lang w:eastAsia="ru-RU"/>
              </w:rPr>
              <w:t>,8</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82,8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tc>
      </w:tr>
      <w:tr w:rsidR="00FD7FEA" w:rsidTr="00C1716C">
        <w:trPr>
          <w:trHeight w:val="164"/>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val="en-US" w:eastAsia="ru-RU"/>
              </w:rPr>
            </w:pPr>
            <w:r>
              <w:rPr>
                <w:rFonts w:ascii="PT Astra Serif" w:eastAsia="Times New Roman" w:hAnsi="PT Astra Serif" w:cs="Times New Roman"/>
                <w:bCs/>
                <w:lang w:val="en-US" w:eastAsia="ru-RU"/>
              </w:rPr>
              <w:t>2</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180" w:lineRule="atLeast"/>
              <w:rPr>
                <w:rFonts w:ascii="PT Astra Serif" w:eastAsia="Times New Roman" w:hAnsi="PT Astra Serif"/>
                <w:bCs/>
                <w:lang w:eastAsia="ru-RU"/>
              </w:rPr>
            </w:pPr>
            <w:r>
              <w:rPr>
                <w:rFonts w:ascii="Times New Roman" w:eastAsia="Times New Roman" w:hAnsi="Times New Roman" w:cs="Times New Roman"/>
                <w:sz w:val="24"/>
                <w:szCs w:val="24"/>
                <w:lang w:eastAsia="ru-RU"/>
              </w:rPr>
              <w:t>Темп роста (индекс роста) реальной среднемесячной заработной платы, % к 2020 году</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uto"/>
              <w:jc w:val="center"/>
              <w:rPr>
                <w:rFonts w:ascii="PT Astra Serif" w:hAnsi="PT Astra Serif" w:cs="PT Astra Serif"/>
              </w:rPr>
            </w:pPr>
            <w:r>
              <w:rPr>
                <w:rFonts w:ascii="PT Astra Serif" w:hAnsi="PT Astra Serif" w:cs="PT Astra Serif"/>
              </w:rPr>
              <w:t>Департамент экономики Администрации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jc w:val="center"/>
              <w:rPr>
                <w:rFonts w:ascii="PT Astra Serif" w:eastAsia="Times New Roman" w:hAnsi="PT Astra Serif"/>
                <w:lang w:val="en-US" w:eastAsia="ru-RU"/>
              </w:rPr>
            </w:pPr>
            <w:r>
              <w:rPr>
                <w:rFonts w:ascii="PT Astra Serif" w:eastAsia="Times New Roman" w:hAnsi="PT Astra Serif"/>
                <w:lang w:val="en-US" w:eastAsia="ru-RU"/>
              </w:rPr>
              <w:t>%</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val="en-US" w:eastAsia="ru-RU"/>
              </w:rPr>
            </w:pPr>
            <w:r>
              <w:rPr>
                <w:rFonts w:ascii="PT Astra Serif" w:eastAsia="Times New Roman" w:hAnsi="PT Astra Serif"/>
                <w:bCs/>
                <w:lang w:val="en-US" w:eastAsia="ru-RU"/>
              </w:rPr>
              <w:t>107</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106,3</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99,3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tc>
      </w:tr>
    </w:tbl>
    <w:p w:rsidR="00FD7FEA" w:rsidRDefault="00FD7FEA" w:rsidP="00FD7FEA">
      <w:pPr>
        <w:spacing w:after="0" w:line="240" w:lineRule="auto"/>
        <w:ind w:left="710"/>
        <w:jc w:val="center"/>
        <w:rPr>
          <w:rFonts w:ascii="PT Astra Serif" w:eastAsia="Times New Roman" w:hAnsi="PT Astra Serif"/>
          <w:b/>
          <w:i/>
          <w:sz w:val="26"/>
          <w:szCs w:val="26"/>
        </w:rPr>
      </w:pPr>
    </w:p>
    <w:p w:rsidR="00FD7FEA" w:rsidRDefault="00FD7FEA" w:rsidP="00FD7FEA">
      <w:pPr>
        <w:spacing w:after="0" w:line="240" w:lineRule="auto"/>
        <w:ind w:firstLine="709"/>
        <w:jc w:val="both"/>
        <w:rPr>
          <w:rFonts w:ascii="PT Astra Serif" w:hAnsi="PT Astra Serif"/>
          <w:bCs/>
          <w:sz w:val="26"/>
          <w:szCs w:val="26"/>
        </w:rPr>
      </w:pPr>
      <w:r>
        <w:rPr>
          <w:rFonts w:ascii="PT Astra Serif" w:hAnsi="PT Astra Serif"/>
          <w:sz w:val="26"/>
          <w:szCs w:val="26"/>
        </w:rPr>
        <w:t xml:space="preserve">Изменения внешних и внутренних условий развития экономики в условиях продолжающихся санкционных ограничений в отношении Российской Федерации существенно повлияли на макроэкономические показатели (сокращение объема промышленного производства в сфере химического производства, производства бумаги, лекарственных средств, объемов строительных работ). В связи с чем, доля </w:t>
      </w:r>
      <w:r>
        <w:rPr>
          <w:rFonts w:ascii="PT Astra Serif" w:hAnsi="PT Astra Serif"/>
          <w:bCs/>
          <w:sz w:val="26"/>
          <w:szCs w:val="26"/>
        </w:rPr>
        <w:t xml:space="preserve">фактических макропоказателей среднесрочного прогноза социально-экономического развития Томской области, по которым отклонение от прогнозируемых макропоказателей в предыдущем году составляет не более 10% составила 82,8% при плановом значении – 100%. В целях повышения социально-экономического развития региона, привлечения инвестиций используются действующие федеральные механизмы и инструменты поддержки развития основных сфер деятельности. Также на региональном уровне осуществляется государственная поддержка ряда отраслей, в том числе в сфере промышленности, а также поддержка субъектов предпринимательства. Кроме того, утвержден План мероприятий (дорожная карта) по достижению целевых значений (уровней) показателя эффективности «Численность населения Томской области» на 2023 год, </w:t>
      </w:r>
      <w:r>
        <w:rPr>
          <w:rFonts w:ascii="PT Astra Serif" w:hAnsi="PT Astra Serif"/>
          <w:bCs/>
          <w:sz w:val="26"/>
          <w:szCs w:val="26"/>
        </w:rPr>
        <w:lastRenderedPageBreak/>
        <w:t>включающий в себя мероприятия по повышению рождаемости, снижению смертности, обеспечению качественного миграционного прироста.</w:t>
      </w:r>
    </w:p>
    <w:p w:rsidR="00FD7FEA" w:rsidRPr="00872878" w:rsidRDefault="00FD7FEA" w:rsidP="00FD7FEA">
      <w:pPr>
        <w:spacing w:after="0" w:line="240" w:lineRule="auto"/>
        <w:ind w:firstLine="709"/>
        <w:jc w:val="both"/>
        <w:rPr>
          <w:rFonts w:ascii="PT Astra Serif" w:hAnsi="PT Astra Serif"/>
          <w:bCs/>
          <w:sz w:val="26"/>
          <w:szCs w:val="26"/>
        </w:rPr>
      </w:pPr>
      <w:r>
        <w:rPr>
          <w:rFonts w:ascii="PT Astra Serif" w:hAnsi="PT Astra Serif"/>
          <w:bCs/>
          <w:sz w:val="26"/>
          <w:szCs w:val="26"/>
        </w:rPr>
        <w:t>Темп роста реальной среднемесячной заработной платы составил в 2023 году 106,3% при плановом значении 107</w:t>
      </w:r>
      <w:r w:rsidRPr="00872878">
        <w:rPr>
          <w:rFonts w:ascii="PT Astra Serif" w:hAnsi="PT Astra Serif"/>
          <w:bCs/>
          <w:sz w:val="26"/>
          <w:szCs w:val="26"/>
        </w:rPr>
        <w:t>% к 2020 году. Недостижение показателя обусловлено высокой инфляцией в 2022 году, в соответствии с методикой расчета, фактическое значение показателя за 2023 год рассчитывается нарастающим итогом к 2020 году.</w:t>
      </w:r>
    </w:p>
    <w:p w:rsidR="00FD7FEA" w:rsidRDefault="00FD7FEA" w:rsidP="00FD7FEA">
      <w:pPr>
        <w:spacing w:after="0" w:line="240" w:lineRule="auto"/>
        <w:ind w:firstLine="709"/>
        <w:jc w:val="both"/>
        <w:rPr>
          <w:rFonts w:ascii="PT Astra Serif" w:hAnsi="PT Astra Serif"/>
          <w:bCs/>
          <w:sz w:val="26"/>
          <w:szCs w:val="26"/>
        </w:rPr>
      </w:pPr>
      <w:r>
        <w:rPr>
          <w:rFonts w:ascii="PT Astra Serif" w:hAnsi="PT Astra Serif"/>
          <w:bCs/>
          <w:sz w:val="26"/>
          <w:szCs w:val="26"/>
        </w:rPr>
        <w:t xml:space="preserve">В рамках </w:t>
      </w:r>
      <w:r>
        <w:rPr>
          <w:rFonts w:ascii="PT Astra Serif" w:hAnsi="PT Astra Serif"/>
          <w:bCs/>
          <w:i/>
          <w:sz w:val="26"/>
          <w:szCs w:val="26"/>
        </w:rPr>
        <w:t>ВЦП «Эффективное управление социально-экономическим развитием Томской области»</w:t>
      </w:r>
      <w:r>
        <w:rPr>
          <w:rFonts w:ascii="PT Astra Serif" w:hAnsi="PT Astra Serif"/>
          <w:bCs/>
          <w:sz w:val="26"/>
          <w:szCs w:val="26"/>
        </w:rPr>
        <w:t xml:space="preserve"> по </w:t>
      </w:r>
      <w:r w:rsidRPr="00DE6022">
        <w:rPr>
          <w:rFonts w:ascii="PT Astra Serif" w:hAnsi="PT Astra Serif"/>
          <w:bCs/>
          <w:sz w:val="26"/>
          <w:szCs w:val="26"/>
        </w:rPr>
        <w:t>84,8%</w:t>
      </w:r>
      <w:r>
        <w:rPr>
          <w:rFonts w:ascii="PT Astra Serif" w:hAnsi="PT Astra Serif"/>
          <w:bCs/>
          <w:sz w:val="26"/>
          <w:szCs w:val="26"/>
        </w:rPr>
        <w:t xml:space="preserve"> показателям целей государственных программ Томской области достигнуты запланированные значения в 2023 году (план – 85%). Из 46 показателей цели государственных программ Томской области достигнуто 39 показателей.</w:t>
      </w:r>
    </w:p>
    <w:p w:rsidR="00FD7FEA" w:rsidRPr="00872878" w:rsidRDefault="00FD7FEA" w:rsidP="00FD7FEA">
      <w:pPr>
        <w:spacing w:after="0" w:line="240" w:lineRule="auto"/>
        <w:ind w:firstLine="709"/>
        <w:jc w:val="both"/>
        <w:rPr>
          <w:rFonts w:ascii="PT Astra Serif" w:hAnsi="PT Astra Serif"/>
          <w:bCs/>
          <w:sz w:val="26"/>
          <w:szCs w:val="26"/>
        </w:rPr>
      </w:pPr>
    </w:p>
    <w:p w:rsidR="00FD7FEA" w:rsidRDefault="00FD7FEA" w:rsidP="00FD7FEA">
      <w:pPr>
        <w:spacing w:after="0" w:line="240" w:lineRule="auto"/>
        <w:ind w:firstLine="709"/>
        <w:jc w:val="both"/>
        <w:rPr>
          <w:rFonts w:ascii="PT Astra Serif" w:eastAsia="Times New Roman" w:hAnsi="PT Astra Serif" w:cs="PT Astra Serif"/>
          <w:b/>
          <w:i/>
          <w:sz w:val="26"/>
          <w:szCs w:val="26"/>
        </w:rPr>
      </w:pPr>
      <w:r>
        <w:rPr>
          <w:rFonts w:ascii="PT Astra Serif" w:eastAsia="Times New Roman" w:hAnsi="PT Astra Serif" w:cs="PT Astra Serif"/>
          <w:b/>
          <w:i/>
          <w:sz w:val="26"/>
          <w:szCs w:val="26"/>
        </w:rPr>
        <w:t>Подпрограмма 4 «</w:t>
      </w:r>
      <w:r>
        <w:rPr>
          <w:rFonts w:ascii="PT Astra Serif" w:hAnsi="PT Astra Serif"/>
          <w:b/>
          <w:bCs/>
          <w:i/>
          <w:sz w:val="26"/>
          <w:szCs w:val="26"/>
        </w:rPr>
        <w:t>Обеспечение</w:t>
      </w:r>
      <w:r>
        <w:rPr>
          <w:rFonts w:ascii="PT Astra Serif" w:eastAsia="Times New Roman" w:hAnsi="PT Astra Serif" w:cs="PT Astra Serif"/>
          <w:b/>
          <w:i/>
          <w:sz w:val="26"/>
          <w:szCs w:val="26"/>
        </w:rPr>
        <w:t xml:space="preserve"> реализации государственных полномочий в сфере лицензирования отдельных видов деятельности в Томской области»</w:t>
      </w:r>
    </w:p>
    <w:p w:rsidR="00FD7FEA" w:rsidRDefault="00FD7FEA" w:rsidP="00FD7FEA">
      <w:pPr>
        <w:spacing w:after="0" w:line="240" w:lineRule="auto"/>
        <w:ind w:left="710" w:firstLine="709"/>
        <w:jc w:val="center"/>
        <w:rPr>
          <w:rFonts w:ascii="PT Astra Serif" w:eastAsia="Times New Roman" w:hAnsi="PT Astra Serif"/>
          <w:b/>
          <w:sz w:val="26"/>
          <w:szCs w:val="26"/>
        </w:rPr>
      </w:pPr>
      <w:r>
        <w:rPr>
          <w:rFonts w:ascii="PT Astra Serif" w:eastAsia="Times New Roman" w:hAnsi="PT Astra Serif"/>
          <w:b/>
          <w:sz w:val="26"/>
          <w:szCs w:val="26"/>
        </w:rPr>
        <w:t>Показатели цели Подпрограммы 4 за 2023 год</w:t>
      </w:r>
    </w:p>
    <w:p w:rsidR="00FD7FEA" w:rsidRPr="00BB529E" w:rsidRDefault="00FD7FEA" w:rsidP="00FD7FEA">
      <w:pPr>
        <w:spacing w:after="0" w:line="240" w:lineRule="auto"/>
        <w:ind w:left="710"/>
        <w:jc w:val="right"/>
        <w:rPr>
          <w:rFonts w:ascii="PT Astra Serif" w:eastAsia="Times New Roman" w:hAnsi="PT Astra Serif"/>
          <w:b/>
          <w:sz w:val="26"/>
          <w:szCs w:val="26"/>
        </w:rPr>
      </w:pPr>
      <w:r>
        <w:rPr>
          <w:rFonts w:ascii="PT Astra Serif" w:eastAsia="Times New Roman" w:hAnsi="PT Astra Serif" w:cs="Times New Roman"/>
          <w:bCs/>
          <w:sz w:val="26"/>
          <w:szCs w:val="26"/>
        </w:rPr>
        <w:t xml:space="preserve">Таблица </w:t>
      </w:r>
      <w:r w:rsidRPr="00BB529E">
        <w:rPr>
          <w:rFonts w:ascii="PT Astra Serif" w:eastAsia="Times New Roman" w:hAnsi="PT Astra Serif" w:cs="Times New Roman"/>
          <w:bCs/>
          <w:sz w:val="26"/>
          <w:szCs w:val="26"/>
        </w:rPr>
        <w:t>6</w:t>
      </w:r>
    </w:p>
    <w:tbl>
      <w:tblPr>
        <w:tblW w:w="9356" w:type="dxa"/>
        <w:tblInd w:w="108" w:type="dxa"/>
        <w:tblLayout w:type="fixed"/>
        <w:tblLook w:val="0000" w:firstRow="0" w:lastRow="0" w:firstColumn="0" w:lastColumn="0" w:noHBand="0" w:noVBand="0"/>
      </w:tblPr>
      <w:tblGrid>
        <w:gridCol w:w="567"/>
        <w:gridCol w:w="1985"/>
        <w:gridCol w:w="1701"/>
        <w:gridCol w:w="712"/>
        <w:gridCol w:w="847"/>
        <w:gridCol w:w="851"/>
        <w:gridCol w:w="850"/>
        <w:gridCol w:w="1843"/>
      </w:tblGrid>
      <w:tr w:rsidR="00FD7FEA" w:rsidTr="00C1716C">
        <w:trPr>
          <w:trHeight w:val="906"/>
          <w:tblHeader/>
        </w:trPr>
        <w:tc>
          <w:tcPr>
            <w:tcW w:w="567" w:type="dxa"/>
            <w:tcBorders>
              <w:top w:val="single" w:sz="4" w:space="0" w:color="000000"/>
              <w:left w:val="single" w:sz="4" w:space="0" w:color="000000"/>
              <w:bottom w:val="single" w:sz="4" w:space="0" w:color="000000"/>
            </w:tcBorders>
            <w:shd w:val="clear" w:color="auto" w:fill="auto"/>
          </w:tcPr>
          <w:p w:rsidR="00FD7FEA" w:rsidRDefault="00FD7FEA" w:rsidP="00C1716C">
            <w:pPr>
              <w:spacing w:after="0" w:line="240" w:lineRule="auto"/>
              <w:contextualSpacing/>
              <w:rPr>
                <w:rFonts w:ascii="PT Astra Serif" w:eastAsia="Times New Roman" w:hAnsi="PT Astra Serif" w:cs="Times New Roman"/>
                <w:bCs/>
                <w:lang w:eastAsia="ru-RU"/>
              </w:rPr>
            </w:pPr>
            <w:r>
              <w:rPr>
                <w:rFonts w:ascii="PT Astra Serif" w:eastAsia="Times New Roman" w:hAnsi="PT Astra Serif" w:cs="Times New Roman"/>
                <w:bCs/>
                <w:lang w:eastAsia="ru-RU"/>
              </w:rPr>
              <w:t>№</w:t>
            </w:r>
            <w:r>
              <w:rPr>
                <w:rFonts w:ascii="PT Astra Serif" w:eastAsia="Times New Roman" w:hAnsi="PT Astra Serif" w:cs="Times New Roman"/>
                <w:bCs/>
                <w:lang w:eastAsia="ru-RU"/>
              </w:rPr>
              <w:br/>
              <w:t>п/п</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Наименование показателя</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Ответственный за показатель</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Единица измерения</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План </w:t>
            </w:r>
            <w:r>
              <w:rPr>
                <w:rFonts w:ascii="PT Astra Serif" w:eastAsia="Times New Roman" w:hAnsi="PT Astra Serif" w:cs="Times New Roman"/>
                <w:bCs/>
                <w:lang w:eastAsia="ru-RU"/>
              </w:rPr>
              <w:br/>
              <w:t>2023 год</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Факт</w:t>
            </w:r>
            <w:r>
              <w:rPr>
                <w:rFonts w:ascii="PT Astra Serif" w:eastAsia="Times New Roman" w:hAnsi="PT Astra Serif" w:cs="Times New Roman"/>
                <w:bCs/>
                <w:lang w:eastAsia="ru-RU"/>
              </w:rPr>
              <w:br/>
              <w:t>2023 год</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 xml:space="preserve">Процент выполнения </w:t>
            </w:r>
            <w:r>
              <w:rPr>
                <w:rFonts w:ascii="PT Astra Serif" w:eastAsia="Times New Roman" w:hAnsi="PT Astra Serif" w:cs="Times New Roman"/>
                <w:bCs/>
                <w:lang w:eastAsia="ru-RU"/>
              </w:rPr>
              <w:br/>
              <w:t>(в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Не достигнут</w:t>
            </w:r>
          </w:p>
          <w:p w:rsidR="00FD7FEA" w:rsidRDefault="00FD7FEA" w:rsidP="00C1716C">
            <w:pPr>
              <w:spacing w:after="0" w:line="240" w:lineRule="atLeast"/>
              <w:jc w:val="center"/>
              <w:rPr>
                <w:rFonts w:ascii="PT Astra Serif" w:eastAsia="Times New Roman" w:hAnsi="PT Astra Serif" w:cs="Times New Roman"/>
                <w:lang w:eastAsia="ru-RU"/>
              </w:rPr>
            </w:pPr>
          </w:p>
        </w:tc>
      </w:tr>
      <w:tr w:rsidR="00FD7FEA" w:rsidTr="00C1716C">
        <w:trPr>
          <w:trHeight w:val="731"/>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1</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rPr>
                <w:rFonts w:ascii="PT Astra Serif" w:eastAsia="Times New Roman" w:hAnsi="PT Astra Serif"/>
                <w:bCs/>
                <w:lang w:eastAsia="ru-RU"/>
              </w:rPr>
            </w:pPr>
            <w:r>
              <w:rPr>
                <w:rFonts w:ascii="PT Astra Serif" w:eastAsia="Times New Roman" w:hAnsi="PT Astra Serif"/>
                <w:bCs/>
                <w:lang w:eastAsia="ru-RU"/>
              </w:rPr>
              <w:t>Доля фактически проведенных проверок соискателей лицензии, лицензиатов от количества поступивших заявлений о предоставлении лицензии или переоформлении лицензии</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uto"/>
              <w:ind w:right="-108"/>
              <w:jc w:val="center"/>
              <w:rPr>
                <w:rFonts w:ascii="PT Astra Serif" w:hAnsi="PT Astra Serif" w:cs="PT Astra Serif"/>
              </w:rPr>
            </w:pPr>
            <w:r>
              <w:rPr>
                <w:rFonts w:ascii="PT Astra Serif" w:hAnsi="PT Astra Serif" w:cs="PT Astra Serif"/>
              </w:rPr>
              <w:t>Департамент лицензирования и регионального государственного контроля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jc w:val="center"/>
              <w:rPr>
                <w:rFonts w:ascii="PT Astra Serif" w:eastAsia="Times New Roman" w:hAnsi="PT Astra Serif"/>
                <w:lang w:eastAsia="ru-RU"/>
              </w:rPr>
            </w:pPr>
            <w:r>
              <w:rPr>
                <w:rFonts w:ascii="PT Astra Serif" w:eastAsia="Times New Roman" w:hAnsi="PT Astra Serif"/>
                <w:lang w:eastAsia="ru-RU"/>
              </w:rPr>
              <w:t>%</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jc w:val="center"/>
              <w:rPr>
                <w:rFonts w:ascii="PT Astra Serif" w:eastAsia="Times New Roman" w:hAnsi="PT Astra Serif"/>
                <w:lang w:eastAsia="ru-RU"/>
              </w:rPr>
            </w:pPr>
            <w:r>
              <w:rPr>
                <w:rFonts w:ascii="PT Astra Serif" w:eastAsia="Times New Roman" w:hAnsi="PT Astra Serif"/>
                <w:lang w:eastAsia="ru-RU"/>
              </w:rPr>
              <w:t>100</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100</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100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cs="Times New Roman"/>
                <w:bCs/>
                <w:lang w:eastAsia="ru-RU"/>
              </w:rPr>
              <w:t>Достигнут</w:t>
            </w:r>
          </w:p>
        </w:tc>
      </w:tr>
      <w:tr w:rsidR="00FD7FEA" w:rsidTr="00C1716C">
        <w:trPr>
          <w:trHeight w:val="731"/>
        </w:trPr>
        <w:tc>
          <w:tcPr>
            <w:tcW w:w="56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sz w:val="26"/>
                <w:szCs w:val="26"/>
                <w:lang w:eastAsia="ru-RU"/>
              </w:rPr>
            </w:pPr>
            <w:r>
              <w:rPr>
                <w:rFonts w:ascii="PT Astra Serif" w:eastAsia="Times New Roman" w:hAnsi="PT Astra Serif"/>
                <w:bCs/>
                <w:sz w:val="26"/>
                <w:szCs w:val="26"/>
                <w:lang w:eastAsia="ru-RU"/>
              </w:rPr>
              <w:t>2</w:t>
            </w:r>
          </w:p>
        </w:tc>
        <w:tc>
          <w:tcPr>
            <w:tcW w:w="1985"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rPr>
                <w:rFonts w:ascii="PT Astra Serif" w:hAnsi="PT Astra Serif"/>
              </w:rPr>
            </w:pPr>
            <w:r>
              <w:rPr>
                <w:rFonts w:ascii="PT Astra Serif" w:hAnsi="PT Astra Serif"/>
              </w:rPr>
              <w:t>Количество выявленных фактов предоставления соискателем лицензии, лицензиатом недостоверной или искаженной информации, несоответствия лицензионным требованиям</w:t>
            </w:r>
          </w:p>
        </w:tc>
        <w:tc>
          <w:tcPr>
            <w:tcW w:w="1701" w:type="dxa"/>
            <w:tcBorders>
              <w:top w:val="single" w:sz="4" w:space="0" w:color="000000"/>
              <w:left w:val="single" w:sz="4" w:space="0" w:color="000000"/>
              <w:bottom w:val="single" w:sz="4" w:space="0" w:color="000000"/>
              <w:right w:val="single" w:sz="4" w:space="0" w:color="000000"/>
            </w:tcBorders>
            <w:vAlign w:val="center"/>
          </w:tcPr>
          <w:p w:rsidR="00FD7FEA" w:rsidRDefault="00FD7FEA" w:rsidP="00C1716C">
            <w:pPr>
              <w:autoSpaceDE w:val="0"/>
              <w:autoSpaceDN w:val="0"/>
              <w:adjustRightInd w:val="0"/>
              <w:spacing w:after="0" w:line="240" w:lineRule="auto"/>
              <w:ind w:right="-108"/>
              <w:jc w:val="center"/>
              <w:rPr>
                <w:rFonts w:ascii="PT Astra Serif" w:hAnsi="PT Astra Serif" w:cs="PT Astra Serif"/>
              </w:rPr>
            </w:pPr>
            <w:r>
              <w:rPr>
                <w:rFonts w:ascii="PT Astra Serif" w:hAnsi="PT Astra Serif" w:cs="PT Astra Serif"/>
              </w:rPr>
              <w:t>Департамент лицензирования и регионального государственного контроля Томской области</w:t>
            </w:r>
          </w:p>
        </w:tc>
        <w:tc>
          <w:tcPr>
            <w:tcW w:w="712"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hAnsi="PT Astra Serif"/>
              </w:rPr>
            </w:pPr>
            <w:r>
              <w:rPr>
                <w:rFonts w:ascii="PT Astra Serif" w:hAnsi="PT Astra Serif"/>
              </w:rPr>
              <w:t>ед.</w:t>
            </w:r>
          </w:p>
        </w:tc>
        <w:tc>
          <w:tcPr>
            <w:tcW w:w="847"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3</w:t>
            </w:r>
          </w:p>
        </w:tc>
        <w:tc>
          <w:tcPr>
            <w:tcW w:w="851"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eastAsia="Times New Roman" w:hAnsi="PT Astra Serif"/>
                <w:bCs/>
                <w:lang w:eastAsia="ru-RU"/>
              </w:rPr>
            </w:pPr>
            <w:r>
              <w:rPr>
                <w:rFonts w:ascii="PT Astra Serif" w:eastAsia="Times New Roman" w:hAnsi="PT Astra Serif"/>
                <w:bCs/>
                <w:lang w:eastAsia="ru-RU"/>
              </w:rPr>
              <w:t>0</w:t>
            </w:r>
          </w:p>
        </w:tc>
        <w:tc>
          <w:tcPr>
            <w:tcW w:w="850" w:type="dxa"/>
            <w:tcBorders>
              <w:top w:val="single" w:sz="4" w:space="0" w:color="000000"/>
              <w:left w:val="single" w:sz="4" w:space="0" w:color="000000"/>
              <w:bottom w:val="single" w:sz="4" w:space="0" w:color="000000"/>
            </w:tcBorders>
            <w:shd w:val="clear" w:color="auto" w:fill="auto"/>
            <w:vAlign w:val="center"/>
          </w:tcPr>
          <w:p w:rsidR="00FD7FEA" w:rsidRDefault="00FD7FEA" w:rsidP="00C1716C">
            <w:pPr>
              <w:spacing w:after="0" w:line="240" w:lineRule="auto"/>
              <w:contextualSpacing/>
              <w:jc w:val="center"/>
              <w:rPr>
                <w:rFonts w:ascii="PT Astra Serif" w:hAnsi="PT Astra Serif"/>
              </w:rPr>
            </w:pPr>
            <w:r>
              <w:rPr>
                <w:rFonts w:ascii="PT Astra Serif" w:hAnsi="PT Astra Serif"/>
              </w:rPr>
              <w:t>300,0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7FEA" w:rsidRDefault="00FD7FEA" w:rsidP="00C1716C">
            <w:pPr>
              <w:spacing w:after="0" w:line="240" w:lineRule="atLeast"/>
              <w:jc w:val="center"/>
              <w:rPr>
                <w:rFonts w:ascii="PT Astra Serif" w:eastAsia="Times New Roman" w:hAnsi="PT Astra Serif" w:cs="Times New Roman"/>
                <w:bCs/>
                <w:lang w:eastAsia="ru-RU"/>
              </w:rPr>
            </w:pPr>
            <w:r>
              <w:rPr>
                <w:rFonts w:ascii="PT Astra Serif" w:eastAsia="Times New Roman" w:hAnsi="PT Astra Serif" w:cs="Times New Roman"/>
                <w:bCs/>
                <w:lang w:eastAsia="ru-RU"/>
              </w:rPr>
              <w:t>Достигнут</w:t>
            </w:r>
          </w:p>
        </w:tc>
      </w:tr>
    </w:tbl>
    <w:p w:rsidR="00FD7FEA" w:rsidRDefault="00FD7FEA" w:rsidP="00FD7FEA">
      <w:pPr>
        <w:tabs>
          <w:tab w:val="left" w:pos="0"/>
          <w:tab w:val="left" w:pos="993"/>
        </w:tabs>
        <w:autoSpaceDE w:val="0"/>
        <w:autoSpaceDN w:val="0"/>
        <w:adjustRightInd w:val="0"/>
        <w:spacing w:after="0" w:line="240" w:lineRule="auto"/>
        <w:ind w:firstLine="709"/>
        <w:jc w:val="both"/>
        <w:rPr>
          <w:rFonts w:ascii="PT Astra Serif" w:hAnsi="PT Astra Serif" w:cs="PT Astra Serif"/>
          <w:bCs/>
          <w:iCs/>
          <w:sz w:val="26"/>
          <w:szCs w:val="26"/>
        </w:rPr>
      </w:pPr>
      <w:r>
        <w:rPr>
          <w:rFonts w:ascii="PT Astra Serif" w:hAnsi="PT Astra Serif" w:cs="PT Astra Serif"/>
          <w:bCs/>
          <w:iCs/>
          <w:sz w:val="26"/>
          <w:szCs w:val="26"/>
        </w:rPr>
        <w:t>Доля фактически проведенных проверок соискателей лицензии, лицензиатов от количества поступивших заявлений о предоставлении лицензии или переоформлении лицензии за 2023 год достигла планового значения и составила 100%.</w:t>
      </w:r>
    </w:p>
    <w:p w:rsidR="00FD7FEA" w:rsidRDefault="00FD7FEA" w:rsidP="00FD7FEA">
      <w:pPr>
        <w:tabs>
          <w:tab w:val="left" w:pos="0"/>
          <w:tab w:val="left" w:pos="993"/>
        </w:tabs>
        <w:autoSpaceDE w:val="0"/>
        <w:autoSpaceDN w:val="0"/>
        <w:adjustRightInd w:val="0"/>
        <w:spacing w:after="0" w:line="240" w:lineRule="auto"/>
        <w:ind w:firstLine="709"/>
        <w:jc w:val="both"/>
        <w:rPr>
          <w:rFonts w:ascii="PT Astra Serif" w:hAnsi="PT Astra Serif" w:cs="PT Astra Serif"/>
          <w:sz w:val="26"/>
          <w:szCs w:val="26"/>
        </w:rPr>
      </w:pPr>
      <w:r>
        <w:rPr>
          <w:rFonts w:ascii="PT Astra Serif" w:hAnsi="PT Astra Serif" w:cs="PT Astra Serif"/>
          <w:sz w:val="26"/>
          <w:szCs w:val="26"/>
        </w:rPr>
        <w:lastRenderedPageBreak/>
        <w:t xml:space="preserve">В результате принятых мер по повышению эффективности и результативности оказания </w:t>
      </w:r>
      <w:r w:rsidRPr="00DE6022">
        <w:rPr>
          <w:rFonts w:ascii="PT Astra Serif" w:hAnsi="PT Astra Serif" w:cs="PT Astra Serif"/>
          <w:sz w:val="26"/>
          <w:szCs w:val="26"/>
        </w:rPr>
        <w:t>консультативной и методической помощи соискателями лицензии (лицензиатами) в 2023 году не выявлены факты предоставления соискателем лицензии, лицензиатом недостоверной</w:t>
      </w:r>
      <w:r>
        <w:rPr>
          <w:rFonts w:ascii="PT Astra Serif" w:hAnsi="PT Astra Serif" w:cs="PT Astra Serif"/>
          <w:sz w:val="26"/>
          <w:szCs w:val="26"/>
        </w:rPr>
        <w:t xml:space="preserve"> или искаженной информации, несоответствия лицензионным требованиям (план – 3 единицы, динамика показателя «меньше-лучше»).</w:t>
      </w:r>
    </w:p>
    <w:p w:rsidR="00FD7FEA"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color w:val="000000"/>
          <w:sz w:val="24"/>
          <w:szCs w:val="24"/>
          <w:lang w:eastAsia="ru-RU"/>
        </w:rPr>
      </w:pPr>
      <w:r>
        <w:rPr>
          <w:rFonts w:ascii="PT Astra Serif" w:hAnsi="PT Astra Serif" w:cs="PT Astra Serif"/>
          <w:sz w:val="26"/>
          <w:szCs w:val="26"/>
        </w:rPr>
        <w:t xml:space="preserve">По итогам реализации </w:t>
      </w:r>
      <w:r>
        <w:rPr>
          <w:rFonts w:ascii="PT Astra Serif" w:eastAsia="Times New Roman" w:hAnsi="PT Astra Serif"/>
          <w:i/>
          <w:sz w:val="26"/>
          <w:szCs w:val="26"/>
          <w:lang w:eastAsia="ru-RU"/>
        </w:rPr>
        <w:t>основного мероприятия</w:t>
      </w:r>
      <w:r>
        <w:rPr>
          <w:rFonts w:ascii="PT Astra Serif" w:hAnsi="PT Astra Serif" w:cs="PT Astra Serif"/>
          <w:i/>
          <w:sz w:val="26"/>
          <w:szCs w:val="26"/>
        </w:rPr>
        <w:t xml:space="preserve"> «Осуществление переданных органам государственной власти субъектов Российской Федерации в соответствии с ч. 1 ст. 15 Федерального закона от 21.11.2011 № 323-ФЗ «Об основах охраны здоровья граждан в Российской Федерации»</w:t>
      </w:r>
      <w:r>
        <w:rPr>
          <w:rFonts w:ascii="PT Astra Serif" w:hAnsi="PT Astra Serif" w:cs="PT Astra Serif"/>
          <w:sz w:val="26"/>
          <w:szCs w:val="26"/>
        </w:rPr>
        <w:t xml:space="preserve"> </w:t>
      </w:r>
      <w:r>
        <w:rPr>
          <w:rFonts w:ascii="PT Astra Serif" w:hAnsi="PT Astra Serif" w:cs="PT Astra Serif"/>
          <w:i/>
          <w:sz w:val="26"/>
          <w:szCs w:val="26"/>
        </w:rPr>
        <w:t>полномочий Российской Федерации в сфере охраны здоровья</w:t>
      </w:r>
      <w:r>
        <w:rPr>
          <w:rFonts w:ascii="PT Astra Serif" w:hAnsi="PT Astra Serif" w:cs="PT Astra Serif"/>
          <w:sz w:val="26"/>
          <w:szCs w:val="26"/>
        </w:rPr>
        <w:t>»</w:t>
      </w:r>
      <w:r>
        <w:rPr>
          <w:rFonts w:ascii="PT Astra Serif" w:hAnsi="PT Astra Serif"/>
          <w:sz w:val="26"/>
          <w:szCs w:val="26"/>
        </w:rPr>
        <w:t xml:space="preserve"> д</w:t>
      </w:r>
      <w:r>
        <w:rPr>
          <w:rFonts w:ascii="PT Astra Serif" w:hAnsi="PT Astra Serif" w:cs="PT Astra Serif"/>
          <w:sz w:val="26"/>
          <w:szCs w:val="26"/>
        </w:rPr>
        <w:t>оля респондентов (заявителей), удовлетворенных эффективностью работы Департамента лицензирования и регионального государственного контроля Томской области в части выполнения полномочий в сфере охраны здоровья составила 100% (план </w:t>
      </w:r>
      <w:r>
        <w:rPr>
          <w:rFonts w:ascii="PT Astra Serif" w:hAnsi="PT Astra Serif" w:cs="PT Astra Serif"/>
          <w:sz w:val="26"/>
          <w:szCs w:val="26"/>
        </w:rPr>
        <w:noBreakHyphen/>
        <w:t> 95,0%).</w:t>
      </w:r>
    </w:p>
    <w:p w:rsidR="00FD7FEA" w:rsidRPr="00DE6022" w:rsidRDefault="00FD7FEA" w:rsidP="00FD7FEA">
      <w:pPr>
        <w:spacing w:after="0" w:line="240" w:lineRule="auto"/>
        <w:ind w:firstLine="709"/>
        <w:jc w:val="both"/>
        <w:rPr>
          <w:rFonts w:ascii="PT Astra Serif" w:hAnsi="PT Astra Serif"/>
          <w:color w:val="000000"/>
          <w:sz w:val="26"/>
          <w:szCs w:val="26"/>
        </w:rPr>
      </w:pPr>
      <w:r>
        <w:rPr>
          <w:rFonts w:ascii="PT Astra Serif" w:eastAsia="Times New Roman" w:hAnsi="PT Astra Serif" w:cs="Times New Roman"/>
          <w:color w:val="000000"/>
          <w:sz w:val="26"/>
          <w:szCs w:val="26"/>
          <w:lang w:eastAsia="ru-RU"/>
        </w:rPr>
        <w:t xml:space="preserve">Причины превышения фактического значения показателя по сравнению с запланированным значением: возможность подачи документов заявителем посредством обращения в ОГКУ «ТО МФЦ»; сокращение продолжительности прохождения процедуры предоставления государственной услуги; размещение на официальном сайте Департамента и своевременная актуализация перечня нормативных правовых актов с указанием конкретных норм, содержащих обязательные требования, возможность соблюдения которых оценивается при проведении мероприятий по контролю в рамках процедуры предоставления (переоформления) </w:t>
      </w:r>
      <w:r w:rsidRPr="00DE6022">
        <w:rPr>
          <w:rFonts w:ascii="PT Astra Serif" w:eastAsia="Times New Roman" w:hAnsi="PT Astra Serif" w:cs="Times New Roman"/>
          <w:color w:val="000000"/>
          <w:sz w:val="26"/>
          <w:szCs w:val="26"/>
          <w:lang w:eastAsia="ru-RU"/>
        </w:rPr>
        <w:t>лицензии на медицинскую деятельность по видам работ (услуг), с кратким описанием круга лиц и(или) перечня объектов, в отношении которых устанавливаются обязательные требования.</w:t>
      </w:r>
    </w:p>
    <w:p w:rsidR="00FD7FEA" w:rsidRPr="00DE6022" w:rsidRDefault="00FD7FEA" w:rsidP="00FD7FEA">
      <w:pPr>
        <w:spacing w:after="0" w:line="240" w:lineRule="auto"/>
        <w:ind w:firstLine="709"/>
        <w:jc w:val="both"/>
        <w:rPr>
          <w:rFonts w:ascii="PT Astra Serif" w:hAnsi="PT Astra Serif"/>
          <w:color w:val="000000"/>
          <w:sz w:val="26"/>
          <w:szCs w:val="26"/>
        </w:rPr>
      </w:pPr>
      <w:r w:rsidRPr="00DE6022">
        <w:rPr>
          <w:rFonts w:ascii="PT Astra Serif" w:hAnsi="PT Astra Serif"/>
          <w:color w:val="000000"/>
          <w:sz w:val="26"/>
          <w:szCs w:val="26"/>
        </w:rPr>
        <w:t>245 лицензий (32 - выдано, 213 – переоформлено) выдано и переоформлено в отчётном году в рамках полномочий, переданных в области охраны здоровья граждан – медицина, фармация, оборот наркотических средств и психотропных веществ (план выполнен на 100%). Проведена 71 проверка в рамках выявления фактов предоставления соискателем лицензии, лицензиатом недостоверной или искаженной информации, несоответствия лицензионным требованиям: отказа в переоформлении лицензий по обороту наркотических средств, психотропных веществ по причине несоответствия лицензионным требованиям не было.</w:t>
      </w:r>
    </w:p>
    <w:p w:rsidR="00FD7FEA" w:rsidRDefault="00FD7FEA" w:rsidP="00FD7FEA">
      <w:pPr>
        <w:autoSpaceDE w:val="0"/>
        <w:autoSpaceDN w:val="0"/>
        <w:adjustRightInd w:val="0"/>
        <w:spacing w:after="0" w:line="240" w:lineRule="auto"/>
        <w:ind w:firstLine="709"/>
        <w:jc w:val="both"/>
        <w:rPr>
          <w:rFonts w:ascii="PT Astra Serif" w:hAnsi="PT Astra Serif" w:cs="Times New Roman"/>
          <w:color w:val="000000" w:themeColor="text1"/>
          <w:sz w:val="26"/>
          <w:szCs w:val="26"/>
        </w:rPr>
      </w:pPr>
      <w:r w:rsidRPr="00DE6022">
        <w:rPr>
          <w:rFonts w:ascii="PT Astra Serif" w:hAnsi="PT Astra Serif" w:cs="Times New Roman"/>
          <w:color w:val="000000" w:themeColor="text1"/>
          <w:sz w:val="26"/>
          <w:szCs w:val="26"/>
        </w:rPr>
        <w:t>Фактическое значение показателя «Срок</w:t>
      </w:r>
      <w:r>
        <w:rPr>
          <w:rFonts w:ascii="PT Astra Serif" w:hAnsi="PT Astra Serif" w:cs="Times New Roman"/>
          <w:color w:val="000000" w:themeColor="text1"/>
          <w:sz w:val="26"/>
          <w:szCs w:val="26"/>
        </w:rPr>
        <w:t xml:space="preserve"> предоставления государственной услуги по оформлению лицензии в сфере здравоохранения» составил 30 дней, что соответствует плановому значению.</w:t>
      </w:r>
    </w:p>
    <w:p w:rsidR="00FD7FEA" w:rsidRDefault="00FD7FEA" w:rsidP="00FD7FEA">
      <w:pPr>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p>
    <w:p w:rsidR="00FD7FEA" w:rsidRDefault="00FD7FEA" w:rsidP="00FD7FEA">
      <w:pPr>
        <w:pStyle w:val="a7"/>
        <w:keepNext/>
        <w:tabs>
          <w:tab w:val="left" w:pos="993"/>
        </w:tabs>
        <w:spacing w:after="120"/>
        <w:ind w:firstLine="0"/>
        <w:jc w:val="center"/>
        <w:rPr>
          <w:rFonts w:ascii="PT Astra Serif" w:hAnsi="PT Astra Serif"/>
          <w:b/>
        </w:rPr>
      </w:pPr>
      <w:r>
        <w:rPr>
          <w:rFonts w:ascii="PT Astra Serif" w:hAnsi="PT Astra Serif"/>
          <w:b/>
          <w:lang w:val="en-US"/>
        </w:rPr>
        <w:t>II</w:t>
      </w:r>
      <w:r>
        <w:rPr>
          <w:rFonts w:ascii="PT Astra Serif" w:hAnsi="PT Astra Serif"/>
          <w:b/>
        </w:rPr>
        <w:t>. Проектная часть</w:t>
      </w:r>
    </w:p>
    <w:p w:rsidR="00FD7FEA" w:rsidRDefault="00FD7FEA" w:rsidP="00FD7FEA">
      <w:pPr>
        <w:tabs>
          <w:tab w:val="left" w:pos="0"/>
          <w:tab w:val="left" w:pos="993"/>
        </w:tabs>
        <w:spacing w:after="0" w:line="240" w:lineRule="auto"/>
        <w:ind w:firstLine="709"/>
        <w:jc w:val="both"/>
        <w:rPr>
          <w:rFonts w:ascii="PT Astra Serif" w:eastAsia="Calibri" w:hAnsi="PT Astra Serif" w:cs="Calibri"/>
          <w:b/>
          <w:bCs/>
          <w:sz w:val="26"/>
          <w:szCs w:val="26"/>
          <w:highlight w:val="yellow"/>
        </w:rPr>
      </w:pPr>
    </w:p>
    <w:p w:rsidR="00FD7FEA" w:rsidRDefault="00FD7FEA" w:rsidP="00FD7FEA">
      <w:pPr>
        <w:tabs>
          <w:tab w:val="left" w:pos="0"/>
          <w:tab w:val="left" w:pos="993"/>
        </w:tabs>
        <w:spacing w:after="0" w:line="240" w:lineRule="auto"/>
        <w:ind w:firstLine="709"/>
        <w:jc w:val="both"/>
        <w:rPr>
          <w:rFonts w:ascii="PT Astra Serif" w:eastAsia="Calibri" w:hAnsi="PT Astra Serif" w:cs="Calibri"/>
          <w:b/>
          <w:bCs/>
          <w:sz w:val="26"/>
          <w:szCs w:val="26"/>
        </w:rPr>
      </w:pPr>
      <w:r>
        <w:rPr>
          <w:rFonts w:ascii="PT Astra Serif" w:eastAsia="Calibri" w:hAnsi="PT Astra Serif" w:cs="Calibri"/>
          <w:b/>
          <w:bCs/>
          <w:sz w:val="26"/>
          <w:szCs w:val="26"/>
        </w:rPr>
        <w:t>Национальный проект «</w:t>
      </w:r>
      <w:r>
        <w:rPr>
          <w:rFonts w:ascii="PT Astra Serif" w:eastAsia="Batang" w:hAnsi="PT Astra Serif" w:cs="Times New Roman"/>
          <w:b/>
          <w:sz w:val="26"/>
          <w:szCs w:val="26"/>
          <w:lang w:eastAsia="ko-KR"/>
        </w:rPr>
        <w:t>Малое и среднее предпринимательство и поддержка индивидуальной предпринимательской инициативы</w:t>
      </w:r>
      <w:r>
        <w:rPr>
          <w:rFonts w:ascii="PT Astra Serif" w:eastAsia="Calibri" w:hAnsi="PT Astra Serif" w:cs="Calibri"/>
          <w:b/>
          <w:bCs/>
          <w:sz w:val="26"/>
          <w:szCs w:val="26"/>
        </w:rPr>
        <w:t>»</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b/>
          <w:i/>
          <w:sz w:val="26"/>
          <w:szCs w:val="26"/>
          <w:lang w:eastAsia="ru-RU"/>
        </w:rPr>
        <w:t>Региональный проект «Создание благоприятных условий для осуществления деятельности самозанятыми гражданами»</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Финансирование регионального проекта за счет всех источников в 2023 году составило 9 869,9 тыс. рублей.</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Государственными микрофинансовыми организациями предоставлено 16 микрозаймов самозанятым гражданам по льготной ставке на общую сумму 3,6 млн. рублей.</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lastRenderedPageBreak/>
        <w:t xml:space="preserve">Центром «Мой бизнес» предоставлен комплекс информационно-консультационных </w:t>
      </w:r>
      <w:r w:rsidRPr="00DE6022">
        <w:rPr>
          <w:rFonts w:ascii="PT Astra Serif" w:eastAsia="Times New Roman" w:hAnsi="PT Astra Serif" w:cs="Times New Roman"/>
          <w:sz w:val="26"/>
          <w:szCs w:val="26"/>
          <w:lang w:eastAsia="ru-RU"/>
        </w:rPr>
        <w:t>и образовательных услуг в оффлайн и онлайн форматах 405 самозанятым гражданам, в том числе прошедших программы обучения.</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225 самозанятых граждан приняли участие в 15 мастер-классах на тему: «SMM продвижение», «Продажи</w:t>
      </w:r>
      <w:r>
        <w:rPr>
          <w:rFonts w:ascii="PT Astra Serif" w:eastAsia="Times New Roman" w:hAnsi="PT Astra Serif" w:cs="Times New Roman"/>
          <w:sz w:val="26"/>
          <w:szCs w:val="26"/>
          <w:lang w:eastAsia="ru-RU"/>
        </w:rPr>
        <w:t xml:space="preserve"> на АВИТО», «Ораторское мастерство. Эффективная самопрезентация», «Как писать продающие тексты. Основы копирайтинга», «Продажи через мессенджеры», «Создание фото и видео контента для продвижения в социальных сетях», «Твой видеоконтент без посредников», «Beauty-Бизнес» и пр.</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20 самозанятых прошли обучение по 2-м образовательным программам: дополнительная общеобразовательная общеразвивающая программа «Продвижение в социальных сетях», дополнительная общеобразовательная общеразвивающая программа «Создание одностраничных лендингов и их продвижение».</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73 самозанятых представили и реализовали свою продукцию в рамках фестиваля городских ресторанов «ЕСТЬ!», городского летнего фестиваля «Лимонад», фестиваля «Мой бизнес» в ТРЦ «Изумрудный город», фестиваля «Мой бизнес» в г. Стрежевой.</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145 самозанятых разместили рекламу своей продукции и услуг на радиостанциях, в социальной сети ВКонтакте и мессенджере Telegram.</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20 самозанятых вывели свою продукцию на электронную торговую площадку Ozon.</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b/>
          <w:i/>
          <w:sz w:val="26"/>
          <w:szCs w:val="26"/>
          <w:lang w:eastAsia="ru-RU"/>
        </w:rPr>
        <w:t>Региональный проект «Создание условий для легкого старта и комфортного ведения бизнеса»</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Финансирование регионального проекта за счет всех источников в 2023 году составило 29 962,9 тыс. рублей.</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Оказана поддержка в виде грантов 21 социальным предпринимателям и 9 молодым предпринимателям до 25 лет на сумму 14,1 млн. рублей.</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 xml:space="preserve">Свыше 2 700 гражданам, желающим вести бизнес, в т.ч. начинающим и действующим предпринимателям, предоставлены информационно-консультационные </w:t>
      </w:r>
      <w:r w:rsidRPr="00DE6022">
        <w:rPr>
          <w:rFonts w:ascii="PT Astra Serif" w:eastAsia="Times New Roman" w:hAnsi="PT Astra Serif" w:cs="Times New Roman"/>
          <w:sz w:val="26"/>
          <w:szCs w:val="26"/>
          <w:lang w:eastAsia="ru-RU"/>
        </w:rPr>
        <w:t xml:space="preserve">и образовательные услуги </w:t>
      </w:r>
      <w:r w:rsidRPr="00DE6022">
        <w:rPr>
          <w:rFonts w:ascii="PT Astra Serif" w:hAnsi="PT Astra Serif"/>
          <w:sz w:val="26"/>
          <w:szCs w:val="26"/>
        </w:rPr>
        <w:t>на единой площадке региональной инфраструктуры поддержки бизнеса, а также в федеральных институтах развития</w:t>
      </w:r>
      <w:r w:rsidRPr="00DE6022">
        <w:rPr>
          <w:rFonts w:ascii="PT Astra Serif" w:eastAsia="Times New Roman" w:hAnsi="PT Astra Serif" w:cs="Times New Roman"/>
          <w:sz w:val="26"/>
          <w:szCs w:val="26"/>
          <w:lang w:eastAsia="ru-RU"/>
        </w:rPr>
        <w:t xml:space="preserve">. </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ООО «Гарантийным фондом Томской области»:</w:t>
      </w:r>
    </w:p>
    <w:p w:rsidR="00FD7FEA" w:rsidRPr="00DE6022" w:rsidRDefault="00FD7FEA" w:rsidP="00FD7FEA">
      <w:pPr>
        <w:pStyle w:val="a6"/>
        <w:numPr>
          <w:ilvl w:val="0"/>
          <w:numId w:val="2"/>
        </w:numPr>
        <w:tabs>
          <w:tab w:val="left" w:pos="0"/>
          <w:tab w:val="left" w:pos="1134"/>
        </w:tabs>
        <w:spacing w:after="0" w:line="240" w:lineRule="auto"/>
        <w:ind w:left="0" w:firstLine="709"/>
        <w:jc w:val="both"/>
        <w:rPr>
          <w:rFonts w:eastAsia="Times New Roman" w:cs="Times New Roman"/>
          <w:sz w:val="26"/>
          <w:szCs w:val="26"/>
          <w:lang w:eastAsia="ru-RU"/>
        </w:rPr>
      </w:pPr>
      <w:r w:rsidRPr="00DE6022">
        <w:rPr>
          <w:rFonts w:eastAsia="Times New Roman" w:cs="Times New Roman"/>
          <w:sz w:val="26"/>
          <w:szCs w:val="26"/>
          <w:lang w:eastAsia="ru-RU"/>
        </w:rPr>
        <w:t>проведено 14 встреч с представителями финансовых организаций на предмет предоставления начинающим субъектам МСП финансовой поддержки при гарантийной поддержке фонда;</w:t>
      </w:r>
    </w:p>
    <w:p w:rsidR="00FD7FEA" w:rsidRPr="00DE6022" w:rsidRDefault="00FD7FEA" w:rsidP="00FD7FEA">
      <w:pPr>
        <w:pStyle w:val="a6"/>
        <w:numPr>
          <w:ilvl w:val="0"/>
          <w:numId w:val="2"/>
        </w:numPr>
        <w:tabs>
          <w:tab w:val="left" w:pos="0"/>
          <w:tab w:val="left" w:pos="1134"/>
        </w:tabs>
        <w:spacing w:after="0" w:line="240" w:lineRule="auto"/>
        <w:ind w:left="0" w:firstLine="709"/>
        <w:jc w:val="both"/>
        <w:rPr>
          <w:rFonts w:eastAsia="Times New Roman" w:cs="Times New Roman"/>
          <w:sz w:val="26"/>
          <w:szCs w:val="26"/>
          <w:lang w:eastAsia="ru-RU"/>
        </w:rPr>
      </w:pPr>
      <w:r w:rsidRPr="00DE6022">
        <w:rPr>
          <w:rFonts w:eastAsia="Times New Roman" w:cs="Times New Roman"/>
          <w:sz w:val="26"/>
          <w:szCs w:val="26"/>
          <w:lang w:eastAsia="ru-RU"/>
        </w:rPr>
        <w:t>предоставлено 4 поручительства субъектам МСП на льготных условиях, что обеспечило объём финансовой поддержки в размере 65,1 млн. рублей.</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xml:space="preserve">Государственными микрофинансовыми организациями Томской области (Фонд МКК Томской области, Фонд </w:t>
      </w:r>
      <w:proofErr w:type="gramStart"/>
      <w:r w:rsidRPr="00DE6022">
        <w:rPr>
          <w:rFonts w:ascii="PT Astra Serif" w:eastAsia="Times New Roman" w:hAnsi="PT Astra Serif" w:cs="Times New Roman"/>
          <w:sz w:val="26"/>
          <w:szCs w:val="26"/>
          <w:lang w:eastAsia="ru-RU"/>
        </w:rPr>
        <w:t>МКК</w:t>
      </w:r>
      <w:proofErr w:type="gramEnd"/>
      <w:r w:rsidRPr="00DE6022">
        <w:rPr>
          <w:rFonts w:ascii="PT Astra Serif" w:eastAsia="Times New Roman" w:hAnsi="PT Astra Serif" w:cs="Times New Roman"/>
          <w:sz w:val="26"/>
          <w:szCs w:val="26"/>
          <w:lang w:eastAsia="ru-RU"/>
        </w:rPr>
        <w:t xml:space="preserve"> ЗАТО Северск, Фонд МКК г. Стрежевой) предоставлено 50 льготных микрозаймов начинающим предпринимателям.</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НКО «Фонд развития бизнеса»:</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xml:space="preserve">– оказано 1 863 консультаций профильными экспертами, из них 1400 консультаций оказано субъектам малого и среднего предпринимательства (в том числе 1250 консультации оказано в центрах поддержки предпринимательства муниципальных образований Томской области), 463 консультации оказано </w:t>
      </w:r>
      <w:r w:rsidRPr="00DE6022">
        <w:rPr>
          <w:rFonts w:ascii="PT Astra Serif" w:eastAsia="Times New Roman" w:hAnsi="PT Astra Serif" w:cs="Times New Roman"/>
          <w:sz w:val="26"/>
          <w:szCs w:val="26"/>
          <w:lang w:eastAsia="ru-RU"/>
        </w:rPr>
        <w:lastRenderedPageBreak/>
        <w:t xml:space="preserve">физическим лицам, заинтересованным в начале осуществления предпринимательской деятельности </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проведено 4 полноформатные обучающие программы: «Мама-предприниматель», «Азбука предпринимательства», «Значимый бизнес», «Школа предпринимательства», 32 семинара по различным тематикам ведения бизнеса;</w:t>
      </w:r>
    </w:p>
    <w:p w:rsidR="00FD7FEA" w:rsidRPr="00DE6022"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организовано и проведено 5 обучающих курсов по следующим темам: «Ключевые управленческие навыки. Личная</w:t>
      </w:r>
      <w:r>
        <w:rPr>
          <w:rFonts w:ascii="PT Astra Serif" w:eastAsia="Times New Roman" w:hAnsi="PT Astra Serif" w:cs="Times New Roman"/>
          <w:sz w:val="26"/>
          <w:szCs w:val="26"/>
          <w:lang w:eastAsia="ru-RU"/>
        </w:rPr>
        <w:t xml:space="preserve"> эффективность руководителя», «Особенности </w:t>
      </w:r>
      <w:r w:rsidRPr="00DE6022">
        <w:rPr>
          <w:rFonts w:ascii="PT Astra Serif" w:eastAsia="Times New Roman" w:hAnsi="PT Astra Serif" w:cs="Times New Roman"/>
          <w:sz w:val="26"/>
          <w:szCs w:val="26"/>
          <w:lang w:eastAsia="ru-RU"/>
        </w:rPr>
        <w:t>работы в организациях дополнительного образования и педагогического сопровождения детей с психическими нарушениями, детей с ОВЗ», «Охрана труда», «Оказание первой медицинской помощи», «Пожарная безопасность»;</w:t>
      </w:r>
    </w:p>
    <w:p w:rsidR="00FD7FEA" w:rsidRPr="00DE6022"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организовано участие субъектов МСП в 21-й международной выставке франшиз «BuyBrend Expo 2023», в выставке «CJF-Детская мода – 2023. Осень», в 32-ой Международной продовольственной выставке «Петерфуд», а также участие в бизнес-миссиях в городе Красноярск с целью расширения возможностей бизнеса и поиска новых торгово-экономических связей;</w:t>
      </w:r>
    </w:p>
    <w:p w:rsidR="00FD7FEA" w:rsidRPr="00DE6022"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оказана поддержка 45 субъектам МСП, которые разместили рекламу своей продукции и услуг на радиостанциях, в социальной сети Вконтакте и на 2gis.ru;</w:t>
      </w:r>
    </w:p>
    <w:p w:rsidR="00FD7FEA" w:rsidRDefault="00FD7FEA" w:rsidP="00FD7FEA">
      <w:pPr>
        <w:tabs>
          <w:tab w:val="left" w:pos="0"/>
          <w:tab w:val="left" w:pos="993"/>
        </w:tabs>
        <w:autoSpaceDE w:val="0"/>
        <w:autoSpaceDN w:val="0"/>
        <w:adjustRightInd w:val="0"/>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 организованы и проведены форум «Бизнес от сердца» посвящённый Международному дню социального предпринимательства, форум ко Дню российского предпринимательства, межрегиональный форум «Новые горизонты развития бизнеса Северных территорий», «</w:t>
      </w:r>
      <w:r>
        <w:rPr>
          <w:rFonts w:ascii="PT Astra Serif" w:eastAsia="Times New Roman" w:hAnsi="PT Astra Serif" w:cs="Times New Roman"/>
          <w:sz w:val="26"/>
          <w:szCs w:val="26"/>
          <w:lang w:eastAsia="ru-RU"/>
        </w:rPr>
        <w:t>Мой добрый бизнес», приуроченный к подведению итогов регионального этапа Всероссийского конкурса проектов в сфере социального предпринимательства, фестиваль «Мой бизнес» в г. Стрежевой, фестиваль «Мой бизнес» в ТРЦ Изумрудный город в г. Томск.</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b/>
          <w:i/>
          <w:sz w:val="26"/>
          <w:szCs w:val="26"/>
          <w:lang w:eastAsia="ru-RU"/>
        </w:rPr>
      </w:pPr>
      <w:r>
        <w:rPr>
          <w:rFonts w:ascii="PT Astra Serif" w:eastAsia="Times New Roman" w:hAnsi="PT Astra Serif" w:cs="Times New Roman"/>
          <w:b/>
          <w:i/>
          <w:sz w:val="26"/>
          <w:szCs w:val="26"/>
          <w:lang w:eastAsia="ru-RU"/>
        </w:rPr>
        <w:t>Региональный проект «Акселерация субъектов малого и среднего предпринимательства»</w:t>
      </w:r>
    </w:p>
    <w:p w:rsidR="00FD7FEA"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sz w:val="26"/>
          <w:szCs w:val="26"/>
          <w:lang w:eastAsia="ru-RU"/>
        </w:rPr>
        <w:t>Финансирование регионального проекта за счет всех источников в 2023 году составило 77 289,9 тыс. рублей.</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Pr>
          <w:rFonts w:ascii="PT Astra Serif" w:eastAsia="Times New Roman" w:hAnsi="PT Astra Serif" w:cs="Times New Roman"/>
          <w:bCs/>
          <w:sz w:val="26"/>
          <w:szCs w:val="26"/>
          <w:lang w:eastAsia="ru-RU"/>
        </w:rPr>
        <w:t xml:space="preserve">В рамках реализации мероприятий по предоставлению комплексных услуг субъектам МСП организациями инфраструктуры поддержки предпринимательства Томской области </w:t>
      </w:r>
      <w:r w:rsidRPr="00DE6022">
        <w:rPr>
          <w:rFonts w:ascii="PT Astra Serif" w:eastAsia="Times New Roman" w:hAnsi="PT Astra Serif" w:cs="Times New Roman"/>
          <w:bCs/>
          <w:sz w:val="26"/>
          <w:szCs w:val="26"/>
          <w:lang w:eastAsia="ru-RU"/>
        </w:rPr>
        <w:t>оказано более 570 услуг по 14 направлениям деятельности</w:t>
      </w:r>
      <w:r w:rsidRPr="00DE6022">
        <w:rPr>
          <w:rFonts w:ascii="PT Astra Serif" w:eastAsia="Times New Roman" w:hAnsi="PT Astra Serif" w:cs="Times New Roman"/>
          <w:sz w:val="26"/>
          <w:szCs w:val="26"/>
          <w:lang w:eastAsia="ru-RU"/>
        </w:rPr>
        <w:t>.</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ООО «Гарантийный фонд Томской области» предоставлено 127 поручительств субъектам МСП, что обеспечило объем финансовой поддержки в сумме 2 413,7 млн. рублей.</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При поддержке Центра поддержки экспорта Томской области 16 субъектов МСП - экспортёров заключили экспортные контракты. Ежегодный объём экспорта субъектов МСП, получивших поддержку центра поддержки экспорта составил – 6,6 млн. долларов США.</w:t>
      </w:r>
    </w:p>
    <w:p w:rsidR="00FD7FEA" w:rsidRPr="00DE6022" w:rsidRDefault="00FD7FEA" w:rsidP="00FD7FEA">
      <w:pPr>
        <w:tabs>
          <w:tab w:val="left" w:pos="0"/>
          <w:tab w:val="left" w:pos="993"/>
        </w:tabs>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Times New Roman" w:hAnsi="PT Astra Serif" w:cs="Times New Roman"/>
          <w:sz w:val="26"/>
          <w:szCs w:val="26"/>
          <w:lang w:eastAsia="ru-RU"/>
        </w:rPr>
        <w:t>По итогам года количество действующих микрозаймов, выданных государственными микрофинансовыми организациями Томской области составило 563 единицы.</w:t>
      </w:r>
    </w:p>
    <w:p w:rsidR="00FD7FEA" w:rsidRPr="00DE6022" w:rsidRDefault="00FD7FEA" w:rsidP="00FD7FEA">
      <w:pPr>
        <w:spacing w:after="0" w:line="240" w:lineRule="auto"/>
        <w:ind w:firstLine="709"/>
        <w:jc w:val="both"/>
        <w:rPr>
          <w:rFonts w:ascii="PT Astra Serif" w:eastAsia="Times New Roman" w:hAnsi="PT Astra Serif" w:cs="Times New Roman"/>
          <w:sz w:val="26"/>
          <w:szCs w:val="26"/>
          <w:lang w:eastAsia="ru-RU"/>
        </w:rPr>
      </w:pPr>
      <w:r w:rsidRPr="00DE6022">
        <w:rPr>
          <w:rFonts w:ascii="PT Astra Serif" w:eastAsia="Batang" w:hAnsi="PT Astra Serif" w:cs="Times New Roman"/>
          <w:b/>
          <w:sz w:val="26"/>
          <w:szCs w:val="26"/>
          <w:lang w:eastAsia="ko-KR"/>
        </w:rPr>
        <w:t>Национальный проект «Туризм и индустрия гостеприимства»</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b/>
          <w:bCs/>
          <w:i/>
          <w:iCs/>
          <w:sz w:val="26"/>
          <w:szCs w:val="26"/>
        </w:rPr>
      </w:pPr>
      <w:r w:rsidRPr="00DE6022">
        <w:rPr>
          <w:rFonts w:ascii="PT Astra Serif" w:eastAsia="Calibri" w:hAnsi="PT Astra Serif" w:cs="Calibri"/>
          <w:b/>
          <w:bCs/>
          <w:i/>
          <w:iCs/>
          <w:sz w:val="26"/>
          <w:szCs w:val="26"/>
        </w:rPr>
        <w:t>Региональный проект «Развитие туристической инфраструктуры»</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bCs/>
          <w:iCs/>
          <w:sz w:val="26"/>
          <w:szCs w:val="26"/>
        </w:rPr>
      </w:pPr>
      <w:r w:rsidRPr="00DE6022">
        <w:rPr>
          <w:rFonts w:ascii="PT Astra Serif" w:eastAsia="Calibri" w:hAnsi="PT Astra Serif" w:cs="Calibri"/>
          <w:sz w:val="26"/>
          <w:szCs w:val="26"/>
        </w:rPr>
        <w:t>Финансирование регионального проекта за счет всех источников в 2023 году составило</w:t>
      </w:r>
      <w:r w:rsidRPr="00DE6022">
        <w:rPr>
          <w:rFonts w:ascii="PT Astra Serif" w:eastAsia="Calibri" w:hAnsi="PT Astra Serif" w:cs="Calibri"/>
          <w:bCs/>
          <w:iCs/>
          <w:sz w:val="26"/>
          <w:szCs w:val="26"/>
        </w:rPr>
        <w:t xml:space="preserve"> 3,3 млн. рублей.</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bCs/>
          <w:iCs/>
          <w:sz w:val="26"/>
          <w:szCs w:val="26"/>
        </w:rPr>
      </w:pPr>
      <w:r w:rsidRPr="00DE6022">
        <w:rPr>
          <w:rFonts w:ascii="PT Astra Serif" w:eastAsia="Calibri" w:hAnsi="PT Astra Serif" w:cs="Calibri"/>
          <w:bCs/>
          <w:iCs/>
          <w:sz w:val="26"/>
          <w:szCs w:val="26"/>
        </w:rPr>
        <w:lastRenderedPageBreak/>
        <w:t>В рамках регионального проекта обеспечена поддержка реализации 2-х общественных инициатив, направленных на развитие туристической инфраструктуры:</w:t>
      </w:r>
    </w:p>
    <w:p w:rsidR="00FD7FEA" w:rsidRDefault="00FD7FEA" w:rsidP="00FD7FEA">
      <w:pPr>
        <w:pStyle w:val="a6"/>
        <w:numPr>
          <w:ilvl w:val="0"/>
          <w:numId w:val="6"/>
        </w:numPr>
        <w:tabs>
          <w:tab w:val="left" w:pos="0"/>
          <w:tab w:val="left" w:pos="1134"/>
        </w:tabs>
        <w:spacing w:after="0" w:line="240" w:lineRule="auto"/>
        <w:ind w:left="0" w:firstLine="709"/>
        <w:jc w:val="both"/>
        <w:rPr>
          <w:rFonts w:eastAsia="Calibri" w:cs="Calibri"/>
          <w:bCs/>
          <w:iCs/>
          <w:sz w:val="26"/>
          <w:szCs w:val="26"/>
        </w:rPr>
      </w:pPr>
      <w:r w:rsidRPr="00DE6022">
        <w:rPr>
          <w:rFonts w:eastAsia="Calibri" w:cs="Calibri"/>
          <w:bCs/>
          <w:iCs/>
          <w:sz w:val="26"/>
          <w:szCs w:val="26"/>
        </w:rPr>
        <w:t>«Пункт проката катамаранов и водных аттракционов</w:t>
      </w:r>
      <w:r>
        <w:rPr>
          <w:rFonts w:eastAsia="Calibri" w:cs="Calibri"/>
          <w:bCs/>
          <w:iCs/>
          <w:sz w:val="26"/>
          <w:szCs w:val="26"/>
        </w:rPr>
        <w:t>» на берегу озера «Окуневое», находящегося в г. Стрежевой, 23 км дороги Стрежевой-Вах;</w:t>
      </w:r>
    </w:p>
    <w:p w:rsidR="00FD7FEA" w:rsidRDefault="00FD7FEA" w:rsidP="00FD7FEA">
      <w:pPr>
        <w:pStyle w:val="a6"/>
        <w:numPr>
          <w:ilvl w:val="0"/>
          <w:numId w:val="6"/>
        </w:numPr>
        <w:tabs>
          <w:tab w:val="left" w:pos="0"/>
          <w:tab w:val="left" w:pos="1134"/>
        </w:tabs>
        <w:spacing w:after="0" w:line="240" w:lineRule="auto"/>
        <w:ind w:left="0" w:firstLine="709"/>
        <w:jc w:val="both"/>
        <w:rPr>
          <w:rFonts w:eastAsia="Calibri" w:cs="Calibri"/>
          <w:bCs/>
          <w:iCs/>
          <w:sz w:val="26"/>
          <w:szCs w:val="26"/>
        </w:rPr>
      </w:pPr>
      <w:r>
        <w:rPr>
          <w:rFonts w:eastAsia="Calibri" w:cs="Calibri"/>
          <w:bCs/>
          <w:iCs/>
          <w:sz w:val="26"/>
          <w:szCs w:val="26"/>
        </w:rPr>
        <w:t>«Создание пляжной зоны на Базе «Дом рыболова» на берегу пруда «Сафроновский», находящегося в Кожевниковском районе, Новопокровском сельском поселении.</w:t>
      </w:r>
    </w:p>
    <w:p w:rsidR="00FD7FEA" w:rsidRDefault="00FD7FEA" w:rsidP="00FD7FEA">
      <w:pPr>
        <w:tabs>
          <w:tab w:val="left" w:pos="0"/>
          <w:tab w:val="left" w:pos="993"/>
        </w:tabs>
        <w:spacing w:after="0" w:line="240" w:lineRule="auto"/>
        <w:ind w:firstLine="709"/>
        <w:jc w:val="both"/>
        <w:rPr>
          <w:rFonts w:ascii="PT Astra Serif" w:eastAsia="Calibri" w:hAnsi="PT Astra Serif" w:cs="Calibri"/>
          <w:b/>
          <w:bCs/>
          <w:i/>
          <w:iCs/>
          <w:sz w:val="26"/>
          <w:szCs w:val="26"/>
        </w:rPr>
      </w:pPr>
    </w:p>
    <w:p w:rsidR="00FD7FEA" w:rsidRDefault="00FD7FEA" w:rsidP="00FD7FEA">
      <w:pPr>
        <w:tabs>
          <w:tab w:val="left" w:pos="0"/>
          <w:tab w:val="left" w:pos="993"/>
        </w:tabs>
        <w:spacing w:after="0" w:line="240" w:lineRule="auto"/>
        <w:ind w:firstLine="709"/>
        <w:jc w:val="both"/>
        <w:rPr>
          <w:rFonts w:ascii="PT Astra Serif" w:eastAsia="Calibri" w:hAnsi="PT Astra Serif" w:cs="Calibri"/>
          <w:b/>
          <w:bCs/>
          <w:i/>
          <w:iCs/>
          <w:sz w:val="26"/>
          <w:szCs w:val="26"/>
        </w:rPr>
      </w:pPr>
      <w:r>
        <w:rPr>
          <w:rFonts w:ascii="PT Astra Serif" w:eastAsia="Calibri" w:hAnsi="PT Astra Serif" w:cs="Calibri"/>
          <w:b/>
          <w:bCs/>
          <w:i/>
          <w:iCs/>
          <w:sz w:val="26"/>
          <w:szCs w:val="26"/>
        </w:rPr>
        <w:t>Региональный проект «Повышение доступности туристических продуктов»</w:t>
      </w:r>
    </w:p>
    <w:p w:rsidR="00FD7FEA" w:rsidRDefault="00FD7FEA" w:rsidP="00FD7FEA">
      <w:pPr>
        <w:tabs>
          <w:tab w:val="left" w:pos="0"/>
          <w:tab w:val="left" w:pos="993"/>
        </w:tabs>
        <w:spacing w:after="0" w:line="240" w:lineRule="auto"/>
        <w:ind w:firstLine="709"/>
        <w:jc w:val="both"/>
        <w:rPr>
          <w:rFonts w:ascii="PT Astra Serif" w:eastAsia="Calibri" w:hAnsi="PT Astra Serif" w:cs="Calibri"/>
          <w:bCs/>
          <w:iCs/>
          <w:sz w:val="26"/>
          <w:szCs w:val="26"/>
        </w:rPr>
      </w:pPr>
      <w:r>
        <w:rPr>
          <w:rFonts w:ascii="PT Astra Serif" w:eastAsia="Calibri" w:hAnsi="PT Astra Serif" w:cs="Calibri"/>
          <w:sz w:val="26"/>
          <w:szCs w:val="26"/>
        </w:rPr>
        <w:t>Финансирование регионального проекта за счет всех источников в 2023 году составило</w:t>
      </w:r>
      <w:r>
        <w:rPr>
          <w:rFonts w:ascii="PT Astra Serif" w:eastAsia="Calibri" w:hAnsi="PT Astra Serif" w:cs="Calibri"/>
          <w:bCs/>
          <w:iCs/>
          <w:sz w:val="26"/>
          <w:szCs w:val="26"/>
        </w:rPr>
        <w:t xml:space="preserve"> 22,4 млн. рублей.</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bCs/>
          <w:iCs/>
          <w:sz w:val="26"/>
          <w:szCs w:val="26"/>
        </w:rPr>
      </w:pPr>
      <w:r>
        <w:rPr>
          <w:rFonts w:ascii="PT Astra Serif" w:eastAsia="Calibri" w:hAnsi="PT Astra Serif" w:cs="Calibri"/>
          <w:bCs/>
          <w:iCs/>
          <w:sz w:val="26"/>
          <w:szCs w:val="26"/>
        </w:rPr>
        <w:t xml:space="preserve">Обеспечена поддержка и продвижение событийного мероприятия Международного фестиваля народных ремесел «Праздник топора». Количество зрителей, посетивших </w:t>
      </w:r>
      <w:r w:rsidRPr="00DE6022">
        <w:rPr>
          <w:rFonts w:ascii="PT Astra Serif" w:eastAsia="Calibri" w:hAnsi="PT Astra Serif" w:cs="Calibri"/>
          <w:bCs/>
          <w:iCs/>
          <w:sz w:val="26"/>
          <w:szCs w:val="26"/>
        </w:rPr>
        <w:t>событийное мероприятие на территории Томской области составило 152 300 человек (план – 50 000 человек).</w:t>
      </w:r>
    </w:p>
    <w:p w:rsidR="00FD7FEA" w:rsidRPr="00DE6022" w:rsidRDefault="00FD7FEA" w:rsidP="00FD7FEA">
      <w:pPr>
        <w:spacing w:after="0" w:line="240" w:lineRule="auto"/>
        <w:ind w:firstLine="709"/>
        <w:jc w:val="both"/>
        <w:rPr>
          <w:rFonts w:ascii="PT Astra Serif" w:eastAsia="Batang" w:hAnsi="PT Astra Serif" w:cs="Times New Roman"/>
          <w:b/>
          <w:sz w:val="26"/>
          <w:szCs w:val="26"/>
          <w:lang w:eastAsia="ko-KR"/>
        </w:rPr>
      </w:pPr>
      <w:r w:rsidRPr="00DE6022">
        <w:rPr>
          <w:rFonts w:ascii="PT Astra Serif" w:eastAsia="Batang" w:hAnsi="PT Astra Serif" w:cs="Times New Roman"/>
          <w:b/>
          <w:sz w:val="26"/>
          <w:szCs w:val="26"/>
          <w:lang w:eastAsia="ko-KR"/>
        </w:rPr>
        <w:t>Национальный проект «Производительность труда»</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b/>
          <w:bCs/>
          <w:i/>
          <w:iCs/>
          <w:sz w:val="26"/>
          <w:szCs w:val="26"/>
        </w:rPr>
      </w:pPr>
      <w:r w:rsidRPr="00DE6022">
        <w:rPr>
          <w:rFonts w:ascii="PT Astra Serif" w:eastAsia="Calibri" w:hAnsi="PT Astra Serif" w:cs="Calibri"/>
          <w:b/>
          <w:bCs/>
          <w:i/>
          <w:iCs/>
          <w:sz w:val="26"/>
          <w:szCs w:val="26"/>
        </w:rPr>
        <w:t>Региональный проект «Системные меры по повышению производительности труда»</w:t>
      </w:r>
    </w:p>
    <w:p w:rsidR="00FD7FEA" w:rsidRPr="00DE6022" w:rsidRDefault="00FD7FEA" w:rsidP="00FD7FEA">
      <w:pPr>
        <w:tabs>
          <w:tab w:val="left" w:pos="0"/>
          <w:tab w:val="left" w:pos="993"/>
        </w:tabs>
        <w:spacing w:after="0" w:line="240" w:lineRule="auto"/>
        <w:ind w:firstLine="709"/>
        <w:jc w:val="both"/>
        <w:rPr>
          <w:rFonts w:ascii="PT Astra Serif" w:eastAsia="Calibri" w:hAnsi="PT Astra Serif" w:cs="Calibri"/>
          <w:sz w:val="26"/>
          <w:szCs w:val="26"/>
        </w:rPr>
      </w:pPr>
      <w:r w:rsidRPr="00DE6022">
        <w:rPr>
          <w:rFonts w:ascii="PT Astra Serif" w:eastAsia="Calibri" w:hAnsi="PT Astra Serif" w:cs="Calibri"/>
          <w:sz w:val="26"/>
          <w:szCs w:val="26"/>
        </w:rPr>
        <w:t>Финансирование регионального проекта в 2023 году не осуществлялось.</w:t>
      </w:r>
    </w:p>
    <w:p w:rsidR="00FD7FEA" w:rsidRDefault="00FD7FEA" w:rsidP="00FD7FEA">
      <w:pPr>
        <w:tabs>
          <w:tab w:val="left" w:pos="0"/>
          <w:tab w:val="left" w:pos="993"/>
        </w:tabs>
        <w:spacing w:after="0" w:line="240" w:lineRule="auto"/>
        <w:ind w:firstLine="709"/>
        <w:contextualSpacing/>
        <w:jc w:val="both"/>
        <w:rPr>
          <w:rFonts w:ascii="PT Astra Serif" w:eastAsia="Calibri" w:hAnsi="PT Astra Serif" w:cs="Times New Roman"/>
          <w:bCs/>
          <w:sz w:val="26"/>
          <w:szCs w:val="26"/>
        </w:rPr>
      </w:pPr>
      <w:r w:rsidRPr="00DE6022">
        <w:rPr>
          <w:rFonts w:ascii="PT Astra Serif" w:eastAsia="Calibri" w:hAnsi="PT Astra Serif" w:cs="Times New Roman"/>
          <w:bCs/>
          <w:sz w:val="26"/>
          <w:szCs w:val="26"/>
        </w:rPr>
        <w:t>В 2023 году подведены итоги регионального этапа конкурса лучших практик наставничества среди предприятий-участников национального проекта «Производительность труда». Победители (АО «ТомскРТС», АО «Научно-производственная фирма «Микран» и ОГБПОУ «Томский</w:t>
      </w:r>
      <w:r>
        <w:rPr>
          <w:rFonts w:ascii="PT Astra Serif" w:eastAsia="Calibri" w:hAnsi="PT Astra Serif" w:cs="Times New Roman"/>
          <w:bCs/>
          <w:sz w:val="26"/>
          <w:szCs w:val="26"/>
        </w:rPr>
        <w:t xml:space="preserve"> политехнический техникум») каждый по своей номинации подали заявки на участие во Всероссийском этапе конкурса, где АО «Научно-производственная фирма «Микран» заняло </w:t>
      </w:r>
      <w:r>
        <w:rPr>
          <w:rFonts w:ascii="PT Astra Serif" w:eastAsia="Calibri" w:hAnsi="PT Astra Serif" w:cs="Times New Roman"/>
          <w:bCs/>
          <w:sz w:val="26"/>
          <w:szCs w:val="26"/>
          <w:lang w:val="en-US"/>
        </w:rPr>
        <w:t>III</w:t>
      </w:r>
      <w:r>
        <w:rPr>
          <w:rFonts w:ascii="PT Astra Serif" w:eastAsia="Calibri" w:hAnsi="PT Astra Serif" w:cs="Times New Roman"/>
          <w:bCs/>
          <w:sz w:val="26"/>
          <w:szCs w:val="26"/>
        </w:rPr>
        <w:t xml:space="preserve"> место в номинации «Профессиональное развитие молодежи».</w:t>
      </w:r>
    </w:p>
    <w:p w:rsidR="00FD7FEA" w:rsidRDefault="00FD7FEA" w:rsidP="00FD7FEA">
      <w:pPr>
        <w:tabs>
          <w:tab w:val="left" w:pos="0"/>
          <w:tab w:val="left" w:pos="993"/>
        </w:tabs>
        <w:spacing w:after="0" w:line="240" w:lineRule="auto"/>
        <w:ind w:firstLine="709"/>
        <w:contextualSpacing/>
        <w:jc w:val="both"/>
        <w:rPr>
          <w:rFonts w:ascii="PT Astra Serif" w:eastAsia="Calibri" w:hAnsi="PT Astra Serif" w:cs="Times New Roman"/>
          <w:bCs/>
          <w:sz w:val="26"/>
          <w:szCs w:val="26"/>
        </w:rPr>
      </w:pPr>
      <w:r>
        <w:rPr>
          <w:rFonts w:ascii="PT Astra Serif" w:eastAsia="Calibri" w:hAnsi="PT Astra Serif" w:cs="Times New Roman"/>
          <w:sz w:val="26"/>
          <w:szCs w:val="26"/>
        </w:rPr>
        <w:t xml:space="preserve">В рамках регионального проекта </w:t>
      </w:r>
      <w:r>
        <w:rPr>
          <w:rFonts w:ascii="PT Astra Serif" w:eastAsia="Calibri" w:hAnsi="PT Astra Serif" w:cs="Times New Roman"/>
          <w:bCs/>
          <w:sz w:val="26"/>
          <w:szCs w:val="26"/>
        </w:rPr>
        <w:t>52 руководителя</w:t>
      </w:r>
      <w:r>
        <w:rPr>
          <w:rFonts w:ascii="PT Astra Serif" w:eastAsia="Calibri" w:hAnsi="PT Astra Serif" w:cs="Times New Roman"/>
          <w:b/>
          <w:bCs/>
          <w:sz w:val="26"/>
          <w:szCs w:val="26"/>
        </w:rPr>
        <w:t xml:space="preserve"> </w:t>
      </w:r>
      <w:r>
        <w:rPr>
          <w:rFonts w:ascii="PT Astra Serif" w:eastAsia="Calibri" w:hAnsi="PT Astra Serif" w:cs="Times New Roman"/>
          <w:bCs/>
          <w:sz w:val="26"/>
          <w:szCs w:val="26"/>
        </w:rPr>
        <w:t>прошли обучение по программе управленческих навыков для повышения производительности труда.</w:t>
      </w:r>
    </w:p>
    <w:p w:rsidR="00FD7FEA" w:rsidRDefault="00FD7FEA" w:rsidP="00FD7FEA">
      <w:pPr>
        <w:tabs>
          <w:tab w:val="left" w:pos="0"/>
          <w:tab w:val="left" w:pos="993"/>
        </w:tabs>
        <w:spacing w:after="0" w:line="240" w:lineRule="auto"/>
        <w:ind w:firstLine="709"/>
        <w:jc w:val="both"/>
        <w:rPr>
          <w:rFonts w:ascii="PT Astra Serif" w:eastAsia="Calibri" w:hAnsi="PT Astra Serif" w:cs="Calibri"/>
          <w:b/>
          <w:bCs/>
          <w:i/>
          <w:iCs/>
          <w:sz w:val="26"/>
          <w:szCs w:val="26"/>
        </w:rPr>
      </w:pPr>
      <w:r>
        <w:rPr>
          <w:rFonts w:ascii="PT Astra Serif" w:eastAsia="Calibri" w:hAnsi="PT Astra Serif" w:cs="Calibri"/>
          <w:b/>
          <w:bCs/>
          <w:i/>
          <w:iCs/>
          <w:sz w:val="26"/>
          <w:szCs w:val="26"/>
        </w:rPr>
        <w:t>Региональный проект «Адресная поддержка повышения производительности труда на предприятиях»</w:t>
      </w:r>
    </w:p>
    <w:p w:rsidR="00FD7FEA" w:rsidRDefault="00FD7FEA" w:rsidP="00FD7FEA">
      <w:pPr>
        <w:tabs>
          <w:tab w:val="left" w:pos="0"/>
          <w:tab w:val="left" w:pos="993"/>
        </w:tabs>
        <w:spacing w:after="0" w:line="240" w:lineRule="auto"/>
        <w:ind w:firstLine="709"/>
        <w:jc w:val="both"/>
        <w:rPr>
          <w:rFonts w:ascii="PT Astra Serif" w:eastAsia="Calibri" w:hAnsi="PT Astra Serif" w:cs="Calibri"/>
          <w:sz w:val="26"/>
          <w:szCs w:val="26"/>
        </w:rPr>
      </w:pPr>
      <w:r>
        <w:rPr>
          <w:rFonts w:ascii="PT Astra Serif" w:eastAsia="Calibri" w:hAnsi="PT Astra Serif" w:cs="Calibri"/>
          <w:sz w:val="26"/>
          <w:szCs w:val="26"/>
        </w:rPr>
        <w:t>Финансирование регионального проекта за счет всех источников в 2023 году составило 30 855,8 тыс. рублей.</w:t>
      </w:r>
      <w:r>
        <w:t xml:space="preserve"> </w:t>
      </w:r>
    </w:p>
    <w:p w:rsidR="00FD7FEA" w:rsidRDefault="00FD7FEA" w:rsidP="00FD7FEA">
      <w:pPr>
        <w:tabs>
          <w:tab w:val="left" w:pos="0"/>
          <w:tab w:val="left" w:pos="993"/>
        </w:tabs>
        <w:spacing w:after="0" w:line="240" w:lineRule="auto"/>
        <w:ind w:firstLine="709"/>
        <w:jc w:val="both"/>
        <w:rPr>
          <w:rFonts w:ascii="PT Astra Serif" w:eastAsia="Calibri" w:hAnsi="PT Astra Serif" w:cs="Calibri"/>
          <w:sz w:val="26"/>
          <w:szCs w:val="26"/>
        </w:rPr>
      </w:pPr>
      <w:r>
        <w:rPr>
          <w:rFonts w:ascii="PT Astra Serif" w:eastAsia="Calibri" w:hAnsi="PT Astra Serif" w:cs="Calibri"/>
          <w:sz w:val="26"/>
          <w:szCs w:val="26"/>
        </w:rPr>
        <w:t>В рамках регионального проекта в 2023 году:</w:t>
      </w:r>
    </w:p>
    <w:p w:rsidR="00FD7FEA" w:rsidRDefault="00FD7FEA" w:rsidP="00FD7FEA">
      <w:pPr>
        <w:numPr>
          <w:ilvl w:val="0"/>
          <w:numId w:val="1"/>
        </w:numPr>
        <w:tabs>
          <w:tab w:val="left" w:pos="0"/>
          <w:tab w:val="left" w:pos="993"/>
        </w:tabs>
        <w:spacing w:after="0" w:line="240" w:lineRule="auto"/>
        <w:ind w:left="0" w:firstLine="709"/>
        <w:contextualSpacing/>
        <w:jc w:val="both"/>
        <w:rPr>
          <w:rFonts w:ascii="PT Astra Serif" w:eastAsia="Calibri" w:hAnsi="PT Astra Serif" w:cs="Calibri"/>
          <w:sz w:val="26"/>
          <w:szCs w:val="26"/>
        </w:rPr>
      </w:pPr>
      <w:r>
        <w:rPr>
          <w:rFonts w:ascii="PT Astra Serif" w:eastAsia="Calibri" w:hAnsi="PT Astra Serif" w:cs="Calibri"/>
          <w:sz w:val="26"/>
          <w:szCs w:val="26"/>
        </w:rPr>
        <w:t>реализовано 9 проектов по повышению производительности труда на предприятиях-участниках национального проекта по направлению «Бережливое производство» с помощью созданной региональной инфраструктуры обеспечения повышения производительности труда;</w:t>
      </w:r>
    </w:p>
    <w:p w:rsidR="00FD7FEA" w:rsidRPr="00DE6022" w:rsidRDefault="00FD7FEA" w:rsidP="00FD7FEA">
      <w:pPr>
        <w:numPr>
          <w:ilvl w:val="0"/>
          <w:numId w:val="1"/>
        </w:numPr>
        <w:tabs>
          <w:tab w:val="left" w:pos="851"/>
          <w:tab w:val="left" w:pos="993"/>
        </w:tabs>
        <w:spacing w:after="0" w:line="240" w:lineRule="auto"/>
        <w:ind w:left="0" w:firstLine="709"/>
        <w:contextualSpacing/>
        <w:jc w:val="both"/>
        <w:rPr>
          <w:rFonts w:ascii="PT Astra Serif" w:eastAsia="Calibri" w:hAnsi="PT Astra Serif" w:cs="Calibri"/>
          <w:sz w:val="26"/>
          <w:szCs w:val="26"/>
        </w:rPr>
      </w:pPr>
      <w:r>
        <w:rPr>
          <w:rFonts w:ascii="PT Astra Serif" w:hAnsi="PT Astra Serif"/>
          <w:sz w:val="26"/>
          <w:szCs w:val="26"/>
        </w:rPr>
        <w:t xml:space="preserve">обучено 175 сотрудников томских предприятий несырьевого сектора экономики силами </w:t>
      </w:r>
      <w:r w:rsidRPr="00DE6022">
        <w:rPr>
          <w:rFonts w:ascii="PT Astra Serif" w:hAnsi="PT Astra Serif"/>
          <w:sz w:val="26"/>
          <w:szCs w:val="26"/>
        </w:rPr>
        <w:t>регионального центра компетенций в сфере производительности труда Томской области;</w:t>
      </w:r>
    </w:p>
    <w:p w:rsidR="00FD7FEA" w:rsidRPr="00DE6022" w:rsidRDefault="00FD7FEA" w:rsidP="00FD7FEA">
      <w:pPr>
        <w:numPr>
          <w:ilvl w:val="0"/>
          <w:numId w:val="1"/>
        </w:numPr>
        <w:tabs>
          <w:tab w:val="left" w:pos="993"/>
        </w:tabs>
        <w:spacing w:after="0" w:line="240" w:lineRule="auto"/>
        <w:ind w:left="0" w:firstLine="709"/>
        <w:contextualSpacing/>
        <w:jc w:val="both"/>
        <w:rPr>
          <w:rFonts w:ascii="PT Astra Serif" w:eastAsia="Calibri" w:hAnsi="PT Astra Serif" w:cs="Times New Roman"/>
          <w:sz w:val="26"/>
          <w:szCs w:val="26"/>
        </w:rPr>
      </w:pPr>
      <w:r w:rsidRPr="00DE6022">
        <w:rPr>
          <w:rFonts w:ascii="PT Astra Serif" w:eastAsia="Calibri" w:hAnsi="PT Astra Serif" w:cs="Times New Roman"/>
          <w:sz w:val="26"/>
          <w:szCs w:val="26"/>
        </w:rPr>
        <w:t xml:space="preserve">проект </w:t>
      </w:r>
      <w:r w:rsidRPr="00DE6022">
        <w:rPr>
          <w:rFonts w:ascii="PT Astra Serif" w:hAnsi="PT Astra Serif"/>
          <w:sz w:val="26"/>
          <w:szCs w:val="26"/>
        </w:rPr>
        <w:t>ООО «Эко-фабрика Сибирский кедр»</w:t>
      </w:r>
      <w:r w:rsidRPr="00DE6022">
        <w:rPr>
          <w:rFonts w:ascii="PT Astra Serif" w:eastAsia="Calibri" w:hAnsi="PT Astra Serif" w:cs="Times New Roman"/>
          <w:sz w:val="26"/>
          <w:szCs w:val="26"/>
        </w:rPr>
        <w:t>, реализованный с помощью Регионального центра компетенций, признан АНО «Федеральным центром компетенций» лучшей практикой применения инструментов бережливого производства и размещен на официальном сайте Производительность.рф для дальнейшего применения по всей стране;</w:t>
      </w:r>
    </w:p>
    <w:p w:rsidR="00FD7FEA" w:rsidRPr="00DE6022" w:rsidRDefault="00FD7FEA" w:rsidP="00FD7FEA">
      <w:pPr>
        <w:numPr>
          <w:ilvl w:val="0"/>
          <w:numId w:val="1"/>
        </w:numPr>
        <w:tabs>
          <w:tab w:val="left" w:pos="0"/>
          <w:tab w:val="left" w:pos="993"/>
        </w:tabs>
        <w:spacing w:after="0" w:line="240" w:lineRule="auto"/>
        <w:ind w:left="0" w:firstLine="709"/>
        <w:contextualSpacing/>
        <w:jc w:val="both"/>
        <w:rPr>
          <w:rFonts w:ascii="PT Astra Serif" w:eastAsia="Calibri" w:hAnsi="PT Astra Serif" w:cs="Times New Roman"/>
          <w:sz w:val="26"/>
          <w:szCs w:val="26"/>
        </w:rPr>
      </w:pPr>
      <w:r w:rsidRPr="00DE6022">
        <w:rPr>
          <w:rFonts w:ascii="PT Astra Serif" w:eastAsia="Calibri" w:hAnsi="PT Astra Serif" w:cs="Times New Roman"/>
          <w:sz w:val="26"/>
          <w:szCs w:val="26"/>
        </w:rPr>
        <w:lastRenderedPageBreak/>
        <w:t>Региональным центром компетенций пройдена сертификация на соответствие требованиям АНО «Федеральный центр компетенций в сфере производительности труда»;</w:t>
      </w:r>
    </w:p>
    <w:p w:rsidR="00FD7FEA" w:rsidRPr="00DE6022" w:rsidRDefault="00FD7FEA" w:rsidP="00FD7FEA">
      <w:pPr>
        <w:numPr>
          <w:ilvl w:val="0"/>
          <w:numId w:val="1"/>
        </w:numPr>
        <w:tabs>
          <w:tab w:val="left" w:pos="0"/>
          <w:tab w:val="left" w:pos="993"/>
        </w:tabs>
        <w:spacing w:after="0" w:line="240" w:lineRule="auto"/>
        <w:ind w:left="0" w:firstLine="709"/>
        <w:contextualSpacing/>
        <w:jc w:val="both"/>
        <w:rPr>
          <w:rFonts w:ascii="PT Astra Serif" w:eastAsia="Calibri" w:hAnsi="PT Astra Serif" w:cs="Times New Roman"/>
          <w:sz w:val="26"/>
          <w:szCs w:val="26"/>
        </w:rPr>
      </w:pPr>
      <w:r w:rsidRPr="00DE6022">
        <w:rPr>
          <w:rFonts w:ascii="PT Astra Serif" w:hAnsi="PT Astra Serif"/>
          <w:sz w:val="25"/>
          <w:szCs w:val="25"/>
        </w:rPr>
        <w:t>расширен функционал Фабрики процессов, путем приобретения и запуска учебной практической площадки «Фабрика офисных процессов» для обучения инструментам бережливого производства офисных процессов;</w:t>
      </w:r>
    </w:p>
    <w:p w:rsidR="00FD7FEA" w:rsidRPr="00DE6022" w:rsidRDefault="00FD7FEA" w:rsidP="00FD7FEA">
      <w:pPr>
        <w:numPr>
          <w:ilvl w:val="0"/>
          <w:numId w:val="1"/>
        </w:numPr>
        <w:tabs>
          <w:tab w:val="left" w:pos="0"/>
          <w:tab w:val="left" w:pos="993"/>
        </w:tabs>
        <w:spacing w:after="0" w:line="240" w:lineRule="auto"/>
        <w:ind w:left="0" w:firstLine="709"/>
        <w:contextualSpacing/>
        <w:jc w:val="both"/>
        <w:rPr>
          <w:rFonts w:ascii="PT Astra Serif" w:eastAsia="Calibri" w:hAnsi="PT Astra Serif" w:cs="Times New Roman"/>
          <w:sz w:val="26"/>
          <w:szCs w:val="26"/>
        </w:rPr>
      </w:pPr>
      <w:r w:rsidRPr="00DE6022">
        <w:rPr>
          <w:rFonts w:ascii="PT Astra Serif" w:eastAsia="Calibri" w:hAnsi="PT Astra Serif" w:cs="Times New Roman"/>
          <w:sz w:val="26"/>
          <w:szCs w:val="26"/>
        </w:rPr>
        <w:t>обучен 281 сотрудник предприятий-участников инструментам повышения производительности на учебной производственной площадке «Фабрика процессов»;</w:t>
      </w:r>
    </w:p>
    <w:p w:rsidR="00FD7FEA" w:rsidRPr="00DE6022" w:rsidRDefault="00FD7FEA" w:rsidP="00FD7FEA">
      <w:pPr>
        <w:numPr>
          <w:ilvl w:val="0"/>
          <w:numId w:val="1"/>
        </w:numPr>
        <w:tabs>
          <w:tab w:val="left" w:pos="0"/>
          <w:tab w:val="left" w:pos="993"/>
        </w:tabs>
        <w:spacing w:after="0" w:line="240" w:lineRule="auto"/>
        <w:ind w:left="0" w:firstLine="709"/>
        <w:contextualSpacing/>
        <w:jc w:val="both"/>
        <w:rPr>
          <w:rFonts w:ascii="PT Astra Serif" w:eastAsia="Calibri" w:hAnsi="PT Astra Serif" w:cs="Times New Roman"/>
          <w:sz w:val="26"/>
          <w:szCs w:val="26"/>
        </w:rPr>
      </w:pPr>
      <w:r w:rsidRPr="00DE6022">
        <w:rPr>
          <w:rFonts w:ascii="PT Astra Serif" w:eastAsia="Calibri" w:hAnsi="PT Astra Serif" w:cs="Times New Roman"/>
          <w:sz w:val="26"/>
          <w:szCs w:val="26"/>
        </w:rPr>
        <w:t xml:space="preserve">14 </w:t>
      </w:r>
      <w:r w:rsidRPr="00DE6022">
        <w:rPr>
          <w:rFonts w:ascii="PT Astra Serif" w:eastAsia="Calibri" w:hAnsi="PT Astra Serif" w:cs="Times New Roman"/>
          <w:bCs/>
          <w:sz w:val="26"/>
          <w:szCs w:val="26"/>
        </w:rPr>
        <w:t>предприятий-участников вовлечены в национальный проект;</w:t>
      </w:r>
    </w:p>
    <w:p w:rsidR="00FD7FEA" w:rsidRPr="00DE6022" w:rsidRDefault="00FD7FEA" w:rsidP="00FD7FEA">
      <w:pPr>
        <w:numPr>
          <w:ilvl w:val="0"/>
          <w:numId w:val="1"/>
        </w:numPr>
        <w:tabs>
          <w:tab w:val="left" w:pos="0"/>
          <w:tab w:val="left" w:pos="993"/>
        </w:tabs>
        <w:spacing w:after="0" w:line="240" w:lineRule="auto"/>
        <w:ind w:left="0" w:firstLine="709"/>
        <w:contextualSpacing/>
        <w:jc w:val="both"/>
        <w:rPr>
          <w:rFonts w:ascii="PT Astra Serif" w:hAnsi="PT Astra Serif"/>
          <w:sz w:val="26"/>
          <w:szCs w:val="26"/>
        </w:rPr>
      </w:pPr>
      <w:r w:rsidRPr="00DE6022">
        <w:rPr>
          <w:rFonts w:ascii="PT Astra Serif" w:eastAsia="Calibri" w:hAnsi="PT Astra Serif" w:cs="Times New Roman"/>
          <w:sz w:val="25"/>
          <w:szCs w:val="25"/>
        </w:rPr>
        <w:t>314 сотрудников предприятий и представителей региональных команд обучены инструментам повышения производительности труда</w:t>
      </w:r>
      <w:r w:rsidRPr="00DE6022">
        <w:rPr>
          <w:rFonts w:ascii="PT Astra Serif" w:eastAsia="Calibri" w:hAnsi="PT Astra Serif" w:cs="Times New Roman"/>
          <w:bCs/>
          <w:sz w:val="26"/>
          <w:szCs w:val="26"/>
        </w:rPr>
        <w:t>.</w:t>
      </w:r>
    </w:p>
    <w:p w:rsidR="009E6D16" w:rsidRDefault="009E6D16"/>
    <w:sectPr w:rsidR="009E6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1"/>
    <w:family w:val="roman"/>
    <w:notTrueType/>
    <w:pitch w:val="variable"/>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96EC4"/>
    <w:multiLevelType w:val="hybridMultilevel"/>
    <w:tmpl w:val="39001D64"/>
    <w:lvl w:ilvl="0" w:tplc="B08CA18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B3D6F8C"/>
    <w:multiLevelType w:val="hybridMultilevel"/>
    <w:tmpl w:val="1FE28844"/>
    <w:lvl w:ilvl="0" w:tplc="18A00270">
      <w:start w:val="1"/>
      <w:numFmt w:val="bullet"/>
      <w:lvlText w:val=""/>
      <w:lvlJc w:val="left"/>
      <w:pPr>
        <w:ind w:left="688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3C327A86"/>
    <w:multiLevelType w:val="hybridMultilevel"/>
    <w:tmpl w:val="91D8B322"/>
    <w:lvl w:ilvl="0" w:tplc="F58ED70E">
      <w:start w:val="1"/>
      <w:numFmt w:val="bullet"/>
      <w:lvlText w:val=""/>
      <w:lvlJc w:val="left"/>
      <w:pPr>
        <w:ind w:left="376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1394CB9"/>
    <w:multiLevelType w:val="hybridMultilevel"/>
    <w:tmpl w:val="42DEBB86"/>
    <w:lvl w:ilvl="0" w:tplc="E96686E6">
      <w:start w:val="1"/>
      <w:numFmt w:val="bullet"/>
      <w:lvlText w:val="-"/>
      <w:lvlJc w:val="left"/>
      <w:pPr>
        <w:ind w:left="1440" w:hanging="360"/>
      </w:pPr>
      <w:rPr>
        <w:rFonts w:ascii="Vrinda" w:hAnsi="Vrinda"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55F27127"/>
    <w:multiLevelType w:val="hybridMultilevel"/>
    <w:tmpl w:val="44640AF6"/>
    <w:lvl w:ilvl="0" w:tplc="B08CA18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678C2881"/>
    <w:multiLevelType w:val="hybridMultilevel"/>
    <w:tmpl w:val="3814CAA8"/>
    <w:lvl w:ilvl="0" w:tplc="B08CA18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FEA"/>
    <w:rsid w:val="00596C46"/>
    <w:rsid w:val="009E6D16"/>
    <w:rsid w:val="00FD7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FEA"/>
    <w:pPr>
      <w:spacing w:after="200" w:line="276" w:lineRule="auto"/>
    </w:pPr>
    <w:rPr>
      <w:rFonts w:asciiTheme="minorHAnsi" w:hAnsiTheme="minorHAnsi"/>
      <w:sz w:val="22"/>
    </w:rPr>
  </w:style>
  <w:style w:type="paragraph" w:styleId="2">
    <w:name w:val="heading 2"/>
    <w:basedOn w:val="a"/>
    <w:next w:val="a"/>
    <w:link w:val="20"/>
    <w:uiPriority w:val="9"/>
    <w:unhideWhenUsed/>
    <w:qFormat/>
    <w:rsid w:val="00FD7FE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7FEA"/>
    <w:rPr>
      <w:rFonts w:asciiTheme="majorHAnsi" w:eastAsiaTheme="majorEastAsia" w:hAnsiTheme="majorHAnsi" w:cstheme="majorBidi"/>
      <w:b/>
      <w:bCs/>
      <w:color w:val="5B9BD5" w:themeColor="accent1"/>
      <w:sz w:val="26"/>
      <w:szCs w:val="26"/>
    </w:rPr>
  </w:style>
  <w:style w:type="character" w:customStyle="1" w:styleId="a3">
    <w:name w:val="Без интервала Знак"/>
    <w:basedOn w:val="a0"/>
    <w:link w:val="a4"/>
    <w:locked/>
    <w:rsid w:val="00FD7FEA"/>
  </w:style>
  <w:style w:type="paragraph" w:styleId="a4">
    <w:name w:val="No Spacing"/>
    <w:link w:val="a3"/>
    <w:qFormat/>
    <w:rsid w:val="00FD7FEA"/>
    <w:pPr>
      <w:spacing w:after="0" w:line="240" w:lineRule="auto"/>
    </w:pPr>
  </w:style>
  <w:style w:type="character" w:customStyle="1" w:styleId="a5">
    <w:name w:val="Абзац списка Знак"/>
    <w:aliases w:val="Абзац списка для документа Знак,Маркер Знак,Содержание. 2 уровень Знак,ПАРАГРАФ Знак,Bullet 1 Знак,Use Case List Paragraph Знак,ТЗ список Знак,Абзац списка литеральный Знак,Булет1 Знак,1Булет Знак,it_List1 Знак,Bullet List Знак"/>
    <w:link w:val="a6"/>
    <w:uiPriority w:val="34"/>
    <w:qFormat/>
    <w:locked/>
    <w:rsid w:val="00FD7FEA"/>
  </w:style>
  <w:style w:type="paragraph" w:styleId="a6">
    <w:name w:val="List Paragraph"/>
    <w:aliases w:val="Абзац списка для документа,Маркер,Содержание. 2 уровень,ПАРАГРАФ,Bullet 1,Use Case List Paragraph,ТЗ список,Абзац списка литеральный,Булет1,1Булет,it_List1,Bullet List,FooterText,numbered,Список дефисный,List Paragraph,lp1"/>
    <w:basedOn w:val="a"/>
    <w:link w:val="a5"/>
    <w:uiPriority w:val="34"/>
    <w:qFormat/>
    <w:rsid w:val="00FD7FEA"/>
    <w:pPr>
      <w:ind w:left="720"/>
      <w:contextualSpacing/>
    </w:pPr>
    <w:rPr>
      <w:rFonts w:ascii="PT Astra Serif" w:hAnsi="PT Astra Serif"/>
      <w:sz w:val="28"/>
    </w:rPr>
  </w:style>
  <w:style w:type="paragraph" w:styleId="a7">
    <w:name w:val="Body Text Indent"/>
    <w:aliases w:val="Нумерованный список !!,Основной текст 1,Надин стиль,Основной текст без отступа,Iniiaiie oaeno 1,Ioia?iaaiiue nienie !!,Iaaei noeeu,Знак1, Знак1"/>
    <w:basedOn w:val="a"/>
    <w:link w:val="a8"/>
    <w:uiPriority w:val="99"/>
    <w:rsid w:val="00FD7FEA"/>
    <w:pPr>
      <w:spacing w:after="0" w:line="240" w:lineRule="auto"/>
      <w:ind w:firstLine="540"/>
      <w:jc w:val="both"/>
    </w:pPr>
    <w:rPr>
      <w:rFonts w:ascii="Times New Roman" w:eastAsia="Times New Roman" w:hAnsi="Times New Roman" w:cs="Times New Roman"/>
      <w:sz w:val="26"/>
      <w:szCs w:val="26"/>
    </w:rPr>
  </w:style>
  <w:style w:type="character" w:customStyle="1" w:styleId="a8">
    <w:name w:val="Основной текст с отступом Знак"/>
    <w:aliases w:val="Нумерованный список !! Знак,Основной текст 1 Знак,Надин стиль Знак,Основной текст без отступа Знак,Iniiaiie oaeno 1 Знак,Ioia?iaaiiue nienie !! Знак,Iaaei noeeu Знак,Знак1 Знак, Знак1 Знак"/>
    <w:basedOn w:val="a0"/>
    <w:link w:val="a7"/>
    <w:uiPriority w:val="99"/>
    <w:rsid w:val="00FD7FEA"/>
    <w:rPr>
      <w:rFonts w:ascii="Times New Roman" w:eastAsia="Times New Roman" w:hAnsi="Times New Roman" w:cs="Times New Roman"/>
      <w:sz w:val="26"/>
      <w:szCs w:val="26"/>
    </w:rPr>
  </w:style>
  <w:style w:type="paragraph" w:customStyle="1" w:styleId="Default">
    <w:name w:val="Default"/>
    <w:rsid w:val="00FD7FEA"/>
    <w:pPr>
      <w:autoSpaceDE w:val="0"/>
      <w:autoSpaceDN w:val="0"/>
      <w:adjustRightInd w:val="0"/>
      <w:spacing w:after="0" w:line="240" w:lineRule="auto"/>
    </w:pPr>
    <w:rPr>
      <w:rFonts w:ascii="Arial" w:eastAsia="Calibri" w:hAnsi="Arial" w:cs="Arial"/>
      <w:color w:val="000000"/>
      <w:sz w:val="24"/>
      <w:szCs w:val="24"/>
      <w:lang w:eastAsia="ru-RU"/>
    </w:rPr>
  </w:style>
  <w:style w:type="paragraph" w:styleId="a9">
    <w:name w:val="Normal (Web)"/>
    <w:aliases w:val="Обычный (Web) Знак,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w:basedOn w:val="a"/>
    <w:link w:val="aa"/>
    <w:uiPriority w:val="99"/>
    <w:qFormat/>
    <w:rsid w:val="00FD7FE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a">
    <w:name w:val="Обычный (веб) Знак"/>
    <w:aliases w:val="Обычный (Web) Знак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9"/>
    <w:uiPriority w:val="99"/>
    <w:locked/>
    <w:rsid w:val="00FD7FEA"/>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FEA"/>
    <w:pPr>
      <w:spacing w:after="200" w:line="276" w:lineRule="auto"/>
    </w:pPr>
    <w:rPr>
      <w:rFonts w:asciiTheme="minorHAnsi" w:hAnsiTheme="minorHAnsi"/>
      <w:sz w:val="22"/>
    </w:rPr>
  </w:style>
  <w:style w:type="paragraph" w:styleId="2">
    <w:name w:val="heading 2"/>
    <w:basedOn w:val="a"/>
    <w:next w:val="a"/>
    <w:link w:val="20"/>
    <w:uiPriority w:val="9"/>
    <w:unhideWhenUsed/>
    <w:qFormat/>
    <w:rsid w:val="00FD7FEA"/>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D7FEA"/>
    <w:rPr>
      <w:rFonts w:asciiTheme="majorHAnsi" w:eastAsiaTheme="majorEastAsia" w:hAnsiTheme="majorHAnsi" w:cstheme="majorBidi"/>
      <w:b/>
      <w:bCs/>
      <w:color w:val="5B9BD5" w:themeColor="accent1"/>
      <w:sz w:val="26"/>
      <w:szCs w:val="26"/>
    </w:rPr>
  </w:style>
  <w:style w:type="character" w:customStyle="1" w:styleId="a3">
    <w:name w:val="Без интервала Знак"/>
    <w:basedOn w:val="a0"/>
    <w:link w:val="a4"/>
    <w:locked/>
    <w:rsid w:val="00FD7FEA"/>
  </w:style>
  <w:style w:type="paragraph" w:styleId="a4">
    <w:name w:val="No Spacing"/>
    <w:link w:val="a3"/>
    <w:qFormat/>
    <w:rsid w:val="00FD7FEA"/>
    <w:pPr>
      <w:spacing w:after="0" w:line="240" w:lineRule="auto"/>
    </w:pPr>
  </w:style>
  <w:style w:type="character" w:customStyle="1" w:styleId="a5">
    <w:name w:val="Абзац списка Знак"/>
    <w:aliases w:val="Абзац списка для документа Знак,Маркер Знак,Содержание. 2 уровень Знак,ПАРАГРАФ Знак,Bullet 1 Знак,Use Case List Paragraph Знак,ТЗ список Знак,Абзац списка литеральный Знак,Булет1 Знак,1Булет Знак,it_List1 Знак,Bullet List Знак"/>
    <w:link w:val="a6"/>
    <w:uiPriority w:val="34"/>
    <w:qFormat/>
    <w:locked/>
    <w:rsid w:val="00FD7FEA"/>
  </w:style>
  <w:style w:type="paragraph" w:styleId="a6">
    <w:name w:val="List Paragraph"/>
    <w:aliases w:val="Абзац списка для документа,Маркер,Содержание. 2 уровень,ПАРАГРАФ,Bullet 1,Use Case List Paragraph,ТЗ список,Абзац списка литеральный,Булет1,1Булет,it_List1,Bullet List,FooterText,numbered,Список дефисный,List Paragraph,lp1"/>
    <w:basedOn w:val="a"/>
    <w:link w:val="a5"/>
    <w:uiPriority w:val="34"/>
    <w:qFormat/>
    <w:rsid w:val="00FD7FEA"/>
    <w:pPr>
      <w:ind w:left="720"/>
      <w:contextualSpacing/>
    </w:pPr>
    <w:rPr>
      <w:rFonts w:ascii="PT Astra Serif" w:hAnsi="PT Astra Serif"/>
      <w:sz w:val="28"/>
    </w:rPr>
  </w:style>
  <w:style w:type="paragraph" w:styleId="a7">
    <w:name w:val="Body Text Indent"/>
    <w:aliases w:val="Нумерованный список !!,Основной текст 1,Надин стиль,Основной текст без отступа,Iniiaiie oaeno 1,Ioia?iaaiiue nienie !!,Iaaei noeeu,Знак1, Знак1"/>
    <w:basedOn w:val="a"/>
    <w:link w:val="a8"/>
    <w:uiPriority w:val="99"/>
    <w:rsid w:val="00FD7FEA"/>
    <w:pPr>
      <w:spacing w:after="0" w:line="240" w:lineRule="auto"/>
      <w:ind w:firstLine="540"/>
      <w:jc w:val="both"/>
    </w:pPr>
    <w:rPr>
      <w:rFonts w:ascii="Times New Roman" w:eastAsia="Times New Roman" w:hAnsi="Times New Roman" w:cs="Times New Roman"/>
      <w:sz w:val="26"/>
      <w:szCs w:val="26"/>
    </w:rPr>
  </w:style>
  <w:style w:type="character" w:customStyle="1" w:styleId="a8">
    <w:name w:val="Основной текст с отступом Знак"/>
    <w:aliases w:val="Нумерованный список !! Знак,Основной текст 1 Знак,Надин стиль Знак,Основной текст без отступа Знак,Iniiaiie oaeno 1 Знак,Ioia?iaaiiue nienie !! Знак,Iaaei noeeu Знак,Знак1 Знак, Знак1 Знак"/>
    <w:basedOn w:val="a0"/>
    <w:link w:val="a7"/>
    <w:uiPriority w:val="99"/>
    <w:rsid w:val="00FD7FEA"/>
    <w:rPr>
      <w:rFonts w:ascii="Times New Roman" w:eastAsia="Times New Roman" w:hAnsi="Times New Roman" w:cs="Times New Roman"/>
      <w:sz w:val="26"/>
      <w:szCs w:val="26"/>
    </w:rPr>
  </w:style>
  <w:style w:type="paragraph" w:customStyle="1" w:styleId="Default">
    <w:name w:val="Default"/>
    <w:rsid w:val="00FD7FEA"/>
    <w:pPr>
      <w:autoSpaceDE w:val="0"/>
      <w:autoSpaceDN w:val="0"/>
      <w:adjustRightInd w:val="0"/>
      <w:spacing w:after="0" w:line="240" w:lineRule="auto"/>
    </w:pPr>
    <w:rPr>
      <w:rFonts w:ascii="Arial" w:eastAsia="Calibri" w:hAnsi="Arial" w:cs="Arial"/>
      <w:color w:val="000000"/>
      <w:sz w:val="24"/>
      <w:szCs w:val="24"/>
      <w:lang w:eastAsia="ru-RU"/>
    </w:rPr>
  </w:style>
  <w:style w:type="paragraph" w:styleId="a9">
    <w:name w:val="Normal (Web)"/>
    <w:aliases w:val="Обычный (Web) Знак,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w:basedOn w:val="a"/>
    <w:link w:val="aa"/>
    <w:uiPriority w:val="99"/>
    <w:qFormat/>
    <w:rsid w:val="00FD7FEA"/>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a">
    <w:name w:val="Обычный (веб) Знак"/>
    <w:aliases w:val="Обычный (Web) Знак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9"/>
    <w:uiPriority w:val="99"/>
    <w:locked/>
    <w:rsid w:val="00FD7FEA"/>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6027</Words>
  <Characters>34355</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Викторовна Лих</dc:creator>
  <cp:lastModifiedBy>Танзиля Маратовна Камалдинова</cp:lastModifiedBy>
  <cp:revision>2</cp:revision>
  <dcterms:created xsi:type="dcterms:W3CDTF">2024-11-13T03:52:00Z</dcterms:created>
  <dcterms:modified xsi:type="dcterms:W3CDTF">2024-11-13T03:52:00Z</dcterms:modified>
</cp:coreProperties>
</file>